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兴隆县民政局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2023年工作总结及2024年工作谋划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40"/>
        </w:rPr>
        <w:t>民政局紧紧围绕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委、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40"/>
        </w:rPr>
        <w:t>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省市县《政府工作报告》和重点工作任务</w:t>
      </w:r>
      <w:r>
        <w:rPr>
          <w:rFonts w:hint="eastAsia" w:ascii="仿宋_GB2312" w:hAnsi="仿宋_GB2312" w:eastAsia="仿宋_GB2312" w:cs="仿宋_GB2312"/>
          <w:sz w:val="32"/>
          <w:szCs w:val="32"/>
        </w:rPr>
        <w:t>，强化“以民为本、为民解困、为民服务”理念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</w:rPr>
        <w:t>按时有序推进各项工作开展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锚定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民政领域任务目标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继续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履行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好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民政职责。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现将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民政2023年工作总结和2024年工作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谋划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情况报告如下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2023年工作总结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健全分层分类救助体系，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巩固兜底保障成果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一是提高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兜底保障标准。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自2023年7月1日起，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城镇低保执行月标准由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650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元提高到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725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农村低保执行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>标准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eastAsia="zh-CN"/>
        </w:rPr>
        <w:t>由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4980元提高到5700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Style w:val="12"/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城镇特困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基本生活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月标准由850元提高到945元，农村特困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lang w:val="en-US" w:eastAsia="zh-CN"/>
        </w:rPr>
        <w:t>基本生活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年标准由6480元提高到7440元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开展易返贫致贫人口社会救助兜底保障排查，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符合条件人员及时纳入低保、特困、临时救助范围。全县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现有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易返贫致贫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人口2449户5829人，其中，纳入低保1925人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纳入特困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val="en-US" w:eastAsia="zh-CN"/>
        </w:rPr>
        <w:t>79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人，实施临时救助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yellow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lang w:val="en-US" w:eastAsia="zh-CN"/>
        </w:rPr>
        <w:t>户次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严格落实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脱贫人口低保救助渐退期政策。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 w:bidi="ar-SA"/>
        </w:rPr>
        <w:t>截至目前脱贫人口11773户32621人，纳入低保4530人，落实“渐退期”47人。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建立低收入人口动态监测平台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。目前预警2353人，对平台监测预警信息及时核实，符合条件人员按程序纳入低保、特困救助供养、低保边缘家庭或实施临时救助，切实做到应保尽保、应救尽救、应兜尽兜。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五是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分层分类实施社会救助情况。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截至目前城乡低保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10709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户、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13839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人，累计发放城乡最低生活保障金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4385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为城乡特困供养人员2507户、2530人累计发放生活补贴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yellow"/>
          <w:lang w:val="en-US" w:eastAsia="zh-CN"/>
        </w:rPr>
        <w:t>和护理补贴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2310万元。实施临时救助210户，发放救助金116万元。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深化改革、民心工程，促进工作提质增效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none" w:color="000000" w:sz="0" w:space="7"/>
        </w:pBdr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1.推进社会救助扩围增效工程情况。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制定了</w:t>
      </w:r>
      <w:r>
        <w:rPr>
          <w:rFonts w:hint="eastAsia" w:ascii="仿宋" w:hAnsi="仿宋" w:eastAsia="仿宋"/>
          <w:sz w:val="32"/>
          <w:szCs w:val="32"/>
        </w:rPr>
        <w:t>《兴隆县民政局</w:t>
      </w:r>
      <w:r>
        <w:rPr>
          <w:rFonts w:ascii="仿宋" w:hAnsi="仿宋" w:eastAsia="仿宋"/>
          <w:sz w:val="32"/>
          <w:szCs w:val="32"/>
        </w:rPr>
        <w:t>社会救助扩围增效工程</w:t>
      </w:r>
      <w:r>
        <w:rPr>
          <w:rFonts w:hint="eastAsia" w:ascii="仿宋" w:hAnsi="仿宋" w:eastAsia="仿宋"/>
          <w:sz w:val="32"/>
          <w:szCs w:val="32"/>
        </w:rPr>
        <w:t>工作方案》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《兴隆县民政局</w:t>
      </w:r>
      <w:r>
        <w:rPr>
          <w:rFonts w:ascii="仿宋" w:hAnsi="仿宋" w:eastAsia="仿宋"/>
          <w:sz w:val="32"/>
          <w:szCs w:val="32"/>
        </w:rPr>
        <w:t>社会救助扩围增效工程</w:t>
      </w:r>
      <w:r>
        <w:rPr>
          <w:rFonts w:hint="eastAsia" w:ascii="仿宋" w:hAnsi="仿宋" w:eastAsia="仿宋"/>
          <w:sz w:val="32"/>
          <w:szCs w:val="32"/>
        </w:rPr>
        <w:t>的通知》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，成立了领导小组，进行了专题研究部署，召开了2次培训会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截至目前全县已认定低保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边缘家庭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低保边缘家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庭1567户3797人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，占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全县常住人口268329人的1.4%，完成了市定任务目标，市级未进行排名。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特殊困难老年人家庭适老化改造和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养老服务人才队伍素质能力提升工程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市下任务指标是全年完成318户改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造任务，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318户已全部完成改造任务和验收工作，完成率达到100%。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目前在全市排名第3。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24名养老护理人员等级评定，超过市定任务数百分之118。目前在全市排名第1。这两项工作也是深化改革半年评估任务，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6月20日市深改办对进度快完成质量高的我县适老化改造工作进行了采访，我们将积极与市级沟通对接，争取考核取得好成绩。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3.兴隆县养老服务能力提升和改扩建项目工作情况。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对黄酒馆县五保供养中心进行改造升级。完成室内外装修、外挂电梯、增加养老床位等，目前养老床位增加到60张。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对半壁山五保供养中心选址搬迁。已选址原青松岭养老院，目前已完成消防改造和装修工作，11月16日完成搬迁工作，养老床位达到48张。两家公办养老机构床位共计108张，比原有多出20张，可适度解决公办养老机构供给不足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643" w:firstLineChars="200"/>
        <w:contextualSpacing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4.乐享河北兴隆实践建设完成情况。</w:t>
      </w:r>
      <w:r>
        <w:rPr>
          <w:rFonts w:hint="eastAsia" w:ascii="楷体_GB2312" w:hAnsi="楷体_GB2312" w:eastAsia="楷体_GB2312" w:cs="楷体_GB2312"/>
          <w:b/>
          <w:bCs/>
          <w:spacing w:val="-20"/>
          <w:sz w:val="32"/>
          <w:szCs w:val="32"/>
          <w:lang w:eastAsia="zh-CN"/>
        </w:rPr>
        <w:t>一是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健全基本养老服务体系。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制定基本养老服务清单，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318户适老化改造任务已完成，现有公办养老机构2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家，改造完成后养老床位108张，全部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为护理型床位，占比达到100%。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二是优化普惠养老服务供给。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8个社区老年助餐服务社区覆盖率100%。乡镇（街道）区域养老服务中心建有率占比60%，目前建成12家区域养老服务中心。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lang w:val="en-US" w:eastAsia="zh-CN" w:bidi="ar-SA"/>
        </w:rPr>
        <w:t>养老服务人才队伍能力素质提升。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在半年改革评估中和省市民生工程中都有此项任务，我县已经超额完成。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此项工作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与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省厅沟通，</w:t>
      </w:r>
      <w:r>
        <w:rPr>
          <w:rFonts w:hint="eastAsia" w:ascii="仿宋" w:hAnsi="仿宋" w:eastAsia="仿宋"/>
          <w:b w:val="0"/>
          <w:bCs/>
          <w:sz w:val="32"/>
          <w:szCs w:val="32"/>
        </w:rPr>
        <w:t>省</w:t>
      </w:r>
      <w:r>
        <w:rPr>
          <w:rFonts w:hint="eastAsia" w:ascii="仿宋" w:hAnsi="仿宋" w:eastAsia="仿宋"/>
          <w:sz w:val="32"/>
          <w:szCs w:val="32"/>
        </w:rPr>
        <w:t>厅已将此项评估测算权限下放给了市局，</w:t>
      </w:r>
      <w:r>
        <w:rPr>
          <w:rFonts w:hint="eastAsia" w:ascii="仿宋" w:hAnsi="仿宋" w:eastAsia="仿宋"/>
          <w:sz w:val="32"/>
          <w:szCs w:val="32"/>
          <w:lang w:eastAsia="zh-CN"/>
        </w:rPr>
        <w:t>年底进行考核测评。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contextualSpacing/>
        <w:textAlignment w:val="auto"/>
        <w:rPr>
          <w:rFonts w:hint="default"/>
          <w:sz w:val="32"/>
          <w:szCs w:val="32"/>
          <w:rtl w:val="0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抓实抓细常规工作，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增强服务社会能力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完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善基层社会治理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一是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按季度督查各村村务公开情况，确保公开时间及时、内容合理、程序规范。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二是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做好协商议事示范点工作。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 w:eastAsia="zh-CN"/>
        </w:rPr>
        <w:t>完成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蘑菇峪镇二道岭村省级协商议事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示范点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 w:eastAsia="zh-CN"/>
        </w:rPr>
        <w:t>中期评估工作，打造东关社区议事协商典型，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总结推广先进做法。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三是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推进村民服务中心建设。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 w:eastAsia="zh-CN"/>
        </w:rPr>
        <w:t>3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年申报了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三道河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 w:eastAsia="zh-CN"/>
        </w:rPr>
        <w:t>镇黑峪沟村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村民服务中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心建设项目，省级补助资金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 w:eastAsia="zh-CN"/>
        </w:rPr>
        <w:t>25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万元，目前村民服务中心主体建设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 w:eastAsia="zh-CN"/>
        </w:rPr>
        <w:t>工作已基本完工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。</w:t>
      </w: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四是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 w:eastAsia="zh-CN"/>
        </w:rPr>
        <w:t>全面推行婚俗改革，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开展移风易俗。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rtl w:val="0"/>
          <w:lang w:val="en-US" w:eastAsia="zh-CN"/>
        </w:rPr>
        <w:t>制定《关于全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rtl w:val="0"/>
          <w:lang w:val="en-US" w:eastAsia="zh-CN"/>
        </w:rPr>
        <w:t>面推行婚俗改革工作的实施方案》，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color="0000FF"/>
          <w:rtl w:val="0"/>
          <w:lang w:val="en-US" w:eastAsia="zh-CN"/>
        </w:rPr>
        <w:t>联合各乡镇举办“遵守村规民约活动”等10余次，制定《关于进一步规范村规民约（居民公约）审核、备案和履行工作的通知》，印发了《兴隆县民政局“守村规民约 树文明新风”教育活动实施方案》，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村规民约</w:t>
      </w:r>
      <w:r>
        <w:rPr>
          <w:rFonts w:hint="eastAsia" w:ascii="仿宋_GB2312" w:hAnsi="仿宋_GB2312" w:eastAsia="仿宋_GB2312" w:cs="仿宋_GB2312"/>
          <w:sz w:val="32"/>
          <w:szCs w:val="32"/>
        </w:rPr>
        <w:t>在社会治理中的积极作用。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规范社会事务管理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。一是提升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婚姻登记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  <w:lang w:eastAsia="zh-CN"/>
        </w:rPr>
        <w:t>服务。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color="0000FF"/>
          <w:rtl w:val="0"/>
          <w:lang w:val="en-US" w:eastAsia="zh-CN"/>
        </w:rPr>
        <w:t>开通“跨省通办”，改变工作流程，提高工作效率，截至目前，共办理结婚登记3400对。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color="0000FF"/>
          <w:rtl w:val="0"/>
          <w:lang w:val="en-US" w:eastAsia="zh-CN"/>
        </w:rPr>
        <w:t>二是加强殡葬服务设施建设。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color="0000FF"/>
          <w:rtl w:val="0"/>
          <w:lang w:val="en-US" w:eastAsia="zh-CN"/>
        </w:rPr>
        <w:t>修订完成《殡葬服务设施建设规划（2021-2035年）》，推动大杖子镇中心型公益性公墓和蓝旗营镇中心型公益性公墓建设，目前已基本完工。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color="0000FF"/>
          <w:rtl w:val="0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color="0000FF"/>
          <w:rtl w:val="0"/>
          <w:lang w:val="en-US" w:eastAsia="zh-CN"/>
        </w:rPr>
        <w:t>全县共计火化遗体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color="0000FF"/>
          <w:rtl w:val="0"/>
          <w:lang w:val="en-US" w:eastAsia="zh-CN"/>
        </w:rPr>
        <w:t>460具，其中享受惠民政策的遗体94具，共计减免9万元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color="0000FF"/>
          <w:rtl w:val="0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color="0000FF"/>
          <w:rtl w:val="0"/>
          <w:lang w:val="en-US" w:eastAsia="zh-CN"/>
        </w:rPr>
        <w:t>四是</w:t>
      </w:r>
      <w:r>
        <w:rPr>
          <w:rFonts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u w:color="000000"/>
          <w:rtl w:val="0"/>
          <w:lang w:val="zh-TW" w:eastAsia="zh-TW"/>
        </w:rPr>
        <w:t>加强社会组织管理。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目前有社会团体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/>
        </w:rPr>
        <w:t>30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家，民办非企业</w:t>
      </w:r>
      <w:r>
        <w:rPr>
          <w:rFonts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en-US"/>
        </w:rPr>
        <w:t>2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/>
        </w:rPr>
        <w:t>5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CN"/>
        </w:rPr>
        <w:t>，其中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行业协会商会11家，</w:t>
      </w:r>
      <w:r>
        <w:rPr>
          <w:rFonts w:hint="eastAsia" w:ascii="仿宋_GB2312" w:hAnsi="仿宋_GB2312" w:eastAsia="仿宋_GB2312" w:cs="仿宋_GB2312"/>
          <w:sz w:val="32"/>
          <w:szCs w:val="32"/>
        </w:rPr>
        <w:t>首次推行网上年检,全面实行网上填报、网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审核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五是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扎实开展流浪乞讨人员救助工作。积极开展以“科技赋能筑大爱  温情救助守初心”为主题的全国救助开放日活动，截至目前共救助流浪乞讨人员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人。</w:t>
      </w:r>
    </w:p>
    <w:p>
      <w:pPr>
        <w:pBdr>
          <w:bottom w:val="single" w:color="FFFFFF" w:sz="4" w:space="17"/>
        </w:pBdr>
        <w:spacing w:line="579" w:lineRule="exact"/>
        <w:ind w:firstLine="643" w:firstLineChars="200"/>
        <w:contextualSpacing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Style w:val="11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健全社会福利体系</w:t>
      </w:r>
      <w:r>
        <w:rPr>
          <w:rStyle w:val="11"/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Style w:val="11"/>
          <w:rFonts w:hint="eastAsia" w:ascii="楷体_GB2312" w:hAnsi="楷体_GB2312" w:eastAsia="楷体_GB2312" w:cs="楷体_GB2312"/>
          <w:b/>
          <w:bCs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一是</w:t>
      </w:r>
      <w:r>
        <w:rPr>
          <w:rStyle w:val="11"/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highlight w:val="none"/>
        </w:rPr>
        <w:t>扎实做好儿童福利工作</w:t>
      </w:r>
      <w:r>
        <w:rPr>
          <w:rStyle w:val="11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1"/>
          <w:szCs w:val="31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截至目前，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highlight w:val="none"/>
          <w:u w:color="000000"/>
          <w:rtl w:val="0"/>
          <w:lang w:val="en-US" w:eastAsia="zh-CN"/>
        </w:rPr>
        <w:t>共计</w:t>
      </w:r>
      <w:r>
        <w:rPr>
          <w:rFonts w:ascii="仿宋_GB2312" w:hAnsi="仿宋_GB2312" w:eastAsia="仿宋_GB2312" w:cs="仿宋_GB2312"/>
          <w:color w:val="0000FF"/>
          <w:sz w:val="32"/>
          <w:szCs w:val="32"/>
          <w:highlight w:val="none"/>
          <w:u w:color="000000"/>
          <w:rtl w:val="0"/>
          <w:lang w:val="zh-TW" w:eastAsia="zh-TW"/>
        </w:rPr>
        <w:t>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名孤儿和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 w:eastAsia="zh-CN"/>
        </w:rPr>
        <w:t>44名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事实无人抚养儿童发放生活补贴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 w:eastAsia="zh-CN"/>
        </w:rPr>
        <w:t>88.27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万元</w:t>
      </w:r>
      <w:r>
        <w:rPr>
          <w:rFonts w:ascii="仿宋_GB2312" w:hAnsi="仿宋_GB2312" w:eastAsia="仿宋_GB2312" w:cs="仿宋_GB2312"/>
          <w:color w:val="0000FF"/>
          <w:sz w:val="32"/>
          <w:szCs w:val="32"/>
          <w:highlight w:val="none"/>
          <w:u w:color="000000"/>
          <w:rtl w:val="0"/>
          <w:lang w:val="zh-TW" w:eastAsia="zh-TW"/>
        </w:rPr>
        <w:t>。实施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/>
        </w:rPr>
        <w:t>“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福彩圆梦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/>
        </w:rPr>
        <w:t>·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孤儿助学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/>
        </w:rPr>
        <w:t>”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工程，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FF"/>
          <w:spacing w:val="0"/>
          <w:sz w:val="32"/>
          <w:szCs w:val="32"/>
          <w:shd w:val="clear" w:fill="FFFFFF"/>
          <w:lang w:val="en-US" w:eastAsia="zh-CN"/>
        </w:rPr>
        <w:t>截至目前</w:t>
      </w:r>
      <w:r>
        <w:rPr>
          <w:rFonts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累计发放助学金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 w:eastAsia="zh-CN"/>
        </w:rPr>
        <w:t>10.33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万元，惠及孤儿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00"/>
          <w:rtl w:val="0"/>
          <w:lang w:val="zh-TW" w:eastAsia="zh-TW"/>
        </w:rPr>
        <w:t>人</w:t>
      </w:r>
      <w:r>
        <w:rPr>
          <w:rFonts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并完成23名纯孤儿体检工作。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Style w:val="11"/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</w:rPr>
        <w:t>着力做好残疾人福利工作</w:t>
      </w:r>
      <w:r>
        <w:rPr>
          <w:rStyle w:val="11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，</w:t>
      </w:r>
      <w:r>
        <w:rPr>
          <w:rStyle w:val="11"/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1"/>
          <w:szCs w:val="31"/>
          <w:lang w:eastAsia="zh-CN"/>
        </w:rPr>
        <w:t>截至目前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en-US" w:eastAsia="zh-CN"/>
        </w:rPr>
        <w:t>5123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名困难残疾人累计发放生活补贴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en-US" w:eastAsia="zh-CN"/>
        </w:rPr>
        <w:t>523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万元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为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en-US" w:eastAsia="zh-CN"/>
        </w:rPr>
        <w:t>4108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名重度残疾人累计发放护理补贴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en-US" w:eastAsia="zh-CN"/>
        </w:rPr>
        <w:t>387.56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color="0000FF"/>
          <w:rtl w:val="0"/>
          <w:lang w:val="zh-TW" w:eastAsia="zh-TW"/>
        </w:rPr>
        <w:t>万元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做好老年人福利工作。</w:t>
      </w:r>
      <w:r>
        <w:rPr>
          <w:rFonts w:hint="eastAsia" w:ascii="仿宋_GB2312" w:hAnsi="仿宋_GB2312" w:eastAsia="仿宋_GB2312" w:cs="仿宋_GB2312"/>
          <w:b w:val="0"/>
          <w:color w:val="FF0000"/>
          <w:kern w:val="2"/>
          <w:sz w:val="32"/>
          <w:szCs w:val="32"/>
          <w:highlight w:val="none"/>
          <w:lang w:val="en-US" w:eastAsia="zh-CN" w:bidi="ar-SA"/>
        </w:rPr>
        <w:t>为全县80周岁及以上老年人5492人累计发放229万元。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2"/>
          <w:sz w:val="32"/>
          <w:szCs w:val="32"/>
          <w:highlight w:val="none"/>
          <w:lang w:val="en-US" w:eastAsia="zh-CN" w:bidi="ar-SA"/>
        </w:rPr>
        <w:t>为经济困难高龄老人407人、经济困难失能老人98人累计发放养老服务补贴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2"/>
          <w:sz w:val="32"/>
          <w:szCs w:val="32"/>
          <w:highlight w:val="yellow"/>
          <w:lang w:val="en-US" w:eastAsia="zh-CN" w:bidi="ar-SA"/>
        </w:rPr>
        <w:t>64.66</w:t>
      </w:r>
      <w:r>
        <w:rPr>
          <w:rFonts w:hint="eastAsia" w:ascii="仿宋_GB2312" w:hAnsi="仿宋_GB2312" w:eastAsia="仿宋_GB2312" w:cs="仿宋_GB2312"/>
          <w:b w:val="0"/>
          <w:bCs/>
          <w:color w:val="FF0000"/>
          <w:kern w:val="2"/>
          <w:sz w:val="32"/>
          <w:szCs w:val="32"/>
          <w:highlight w:val="none"/>
          <w:lang w:val="en-US" w:eastAsia="zh-CN" w:bidi="ar-SA"/>
        </w:rPr>
        <w:t>万元。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重阳节期间，开展了贫困高龄老人慰问活动，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共计慰问贫困高龄老人49人，发放慰问金和慰问物资共计2.59万元。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是持续推进慈善事业健康发展，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发挥我县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社会救助基金会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作用，召开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救助活动会议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，积极动员企业参加我县救助工作</w:t>
      </w:r>
      <w:r>
        <w:rPr>
          <w:rFonts w:hint="default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sz w:val="32"/>
          <w:szCs w:val="32"/>
          <w:lang w:val="en-US" w:eastAsia="zh-CN"/>
        </w:rPr>
        <w:t>截至目前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引导社会组织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捐款捐物共计8.1万余元。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引导了1家公司为大杖子镇石佛村捐赠10万元，2家基金会为2家五保供养中心捐赠价值1.4万元的血氧仪等物资。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广东中山辉就科技有限公司无偿为兴隆县289个村和20个乡镇捐赠冷暖空调扇设备一套，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12月底完成。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（四）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做精做优特色亮点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我单位创新建立“3345”社会救助新机制，在学习强国、河北省民政厅、民政工作文选等平台进行了刊发。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争取国家级试点1个，蘑菇峪镇二道岭村国家级议事协商示范点，省厅领导对我县此项工作总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体评价很高，认为二道岭村的议事协商工作更符合贫困农村的实际情况，具有一定的推广价值，领导非常满意，争取在民政部组织的年底评估中取得好成绩。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经验推广1个，雾灵山镇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塔前村农村老年助餐经验小食堂，大民生，老年助餐暖人心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，省民政厅领导批示同意兴隆县做法在《河北民政》刊发，向全省推广兴隆县农村老年助餐服务经验。四是截至目前媒体刊发类国家级3篇，省级5篇，市级2篇。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contextualSpacing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二、2024年工作谋划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aps w:val="0"/>
          <w:sz w:val="32"/>
          <w:szCs w:val="32"/>
        </w:rPr>
        <w:t>快响应重精准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caps w:val="0"/>
          <w:sz w:val="32"/>
          <w:szCs w:val="32"/>
        </w:rPr>
        <w:t>把基本民生保障底线兜得更牢</w:t>
      </w:r>
      <w:r>
        <w:rPr>
          <w:rFonts w:hint="eastAsia" w:ascii="楷体_GB2312" w:hAnsi="楷体_GB2312" w:eastAsia="楷体_GB2312" w:cs="楷体_GB2312"/>
          <w:b/>
          <w:bCs/>
          <w:caps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一是创新建立社会救助品牌。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坚持尽力而为、量力而行，兜住、兜准、兜牢民生底线，分层分类实施社会救助，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加大社会救助扩围增效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力度，全面准确落实好低保、特困、临时救助等兜底保障政策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color="000000"/>
          <w:rtl w:val="0"/>
          <w:lang w:val="zh-TW" w:eastAsia="zh-CN"/>
        </w:rPr>
        <w:t>严格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color="000000"/>
          <w:rtl w:val="0"/>
          <w:lang w:val="zh-TW" w:eastAsia="zh-TW"/>
        </w:rPr>
        <w:t>落实各项社会福利。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CN"/>
        </w:rPr>
        <w:t>按时足额发放低保、特困、临时救助、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老年人福利、两残补贴等社会救助资金。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TW"/>
        </w:rPr>
        <w:t>进一步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CN"/>
        </w:rPr>
        <w:t>强化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TW"/>
        </w:rPr>
        <w:t>儿童保护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CN"/>
        </w:rPr>
        <w:t>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TW"/>
        </w:rPr>
        <w:t>关爱，加强对未成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TW"/>
        </w:rPr>
        <w:t>人保护和救助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color="000000"/>
          <w:rtl w:val="0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（二）多发力敢突破，把基本养老服务建设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做得更好。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紧咬乐享考核指标不放，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eastAsia="zh-CN"/>
        </w:rPr>
        <w:t>加强养老服务从业人员培训，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2024年完成新增20名以上持证养老护理员的培训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认证任务。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争取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完成2家公办养老机构星级评定工作，其中县五保供养服务中心争取2星级评定，半壁山五保供养服务中心争取1星级评定。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推进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完成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360户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  <w:lang w:eastAsia="zh-CN"/>
        </w:rPr>
        <w:t>农村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8"/>
          <w:sz w:val="32"/>
          <w:szCs w:val="32"/>
          <w:shd w:val="clear" w:fill="FFFFFF"/>
        </w:rPr>
        <w:t>特殊困难家庭适老化改造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任务。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紧盯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重点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项目建设，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社区居家养老服务中心提升项目。按照新建不低于750平米居家养老服务中心要求，计划争取省级养老服务体系建设资金，建设2家高标准、多元化、功能完善的社区居家养老服务中心。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三是紧跟京津冀协同发展，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t>主动承接北京养老需求疏解，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积极与卫健、文旅等相关部门密切配合，加大青松岭文化新村项目的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对外推介，积极吸引京津医养康养相结合的养老服务项目签约落地。对六道河北京山谷项目按建设时序要求有序推进。2024年想乐时光国际康养中心力争年内接待京津“四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有”老人来兴医养康养600人次以上。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四是紧抓和美乡村战略机遇，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重点推广“幸福大食堂”“就地互助”式养老、“集中日间照料”式养老，以及“行走的养老院”居家式养老三种相为补充的农村养老模式，2024年完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成10个乡镇级孝老食堂，发展30个村级孝老食堂建设任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务。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五是紧切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规范民办养老机构。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备案一批、整合一批、取缔一批的方式，加大对民办养老机构的监管，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目前营业的18家民办养老机构已完成消防改造16家，2024年初力争全部改造完毕，完成备案。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（三）出实招亮硬招</w:t>
      </w:r>
      <w:r>
        <w:rPr>
          <w:rFonts w:hint="eastAsia" w:ascii="楷体_GB2312" w:hAnsi="楷体_GB2312" w:eastAsia="楷体_GB2312" w:cs="楷体_GB2312"/>
          <w:b/>
          <w:bCs/>
          <w:caps w:val="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把社会治理的基础夯得更实。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3" w:firstLineChars="200"/>
        <w:textAlignment w:val="auto"/>
        <w:rPr>
          <w:rFonts w:hint="eastAsia" w:eastAsia="仿宋_GB2312"/>
          <w:color w:val="FF000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color="000000"/>
          <w:rtl w:val="0"/>
          <w:lang w:val="zh-TW" w:eastAsia="zh-TW"/>
        </w:rPr>
        <w:t>一是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 w:eastAsia="zh-CN"/>
        </w:rPr>
        <w:t>继续打造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color="000000"/>
          <w:rtl w:val="0"/>
          <w:lang w:val="zh-TW" w:eastAsia="zh-TW"/>
        </w:rPr>
        <w:t>蘑菇峪镇二道岭村省级协商议事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zh-TW" w:eastAsia="zh-TW"/>
        </w:rPr>
        <w:t>示范点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color="000000"/>
          <w:rtl w:val="0"/>
          <w:lang w:val="en-US" w:eastAsia="zh-CN"/>
        </w:rPr>
        <w:t>和东关社区议事协商典型，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推动议事协商试点工作经验在全县进行推广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highlight w:val="none"/>
          <w:lang w:val="en-US" w:eastAsia="zh-CN"/>
        </w:rPr>
        <w:t>持续跟进城乡社区建设补助项目。大水泉镇小横河村已争取省级两室建设资金25万元，按照建设要求持续</w:t>
      </w:r>
      <w:r>
        <w:rPr>
          <w:rFonts w:ascii="仿宋_GB2312" w:hAnsi="仿宋_GB2312" w:eastAsia="仿宋_GB2312" w:cs="仿宋_GB2312"/>
          <w:color w:val="FF0000"/>
          <w:sz w:val="32"/>
          <w:szCs w:val="32"/>
          <w:u w:color="000000"/>
          <w:rtl w:val="0"/>
          <w:lang w:val="zh-TW" w:eastAsia="zh-TW"/>
        </w:rPr>
        <w:t>跟进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color="000000"/>
          <w:rtl w:val="0"/>
          <w:lang w:val="zh-TW"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color="000000"/>
          <w:rtl w:val="0"/>
          <w:lang w:val="en-US" w:eastAsia="zh-CN"/>
        </w:rPr>
        <w:t>确保按时按质完工。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79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aps w:val="0"/>
          <w:kern w:val="0"/>
          <w:sz w:val="32"/>
          <w:szCs w:val="32"/>
          <w:lang w:val="en-US" w:eastAsia="zh-CN" w:bidi="ar-SA"/>
        </w:rPr>
        <w:t>（四）树标准立标杆，把社会服务的温度变得更暖。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一是持续做好公益慈善事业。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探索“慈善+”救助模式，实施“慈善+政府、社会组织、乡村振兴、抗洪救灾”等模式，主动公开公示，带动和影响社会力量参与慈善事业。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二是持续深化婚丧领域移风易俗改革。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充分发挥红白理事会作用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，推行文明婚丧习俗。以雾灵山镇塔前村作为全县婚俗改革工作试点，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以点带面全面推进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。将殡葬服务机构和殡葬服务中介机构作为重点监督检查对象，倡导文明祭祀。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三是开展精神障碍社区康复服务。</w:t>
      </w:r>
      <w:r>
        <w:rPr>
          <w:rFonts w:hint="eastAsia" w:ascii="仿宋_GB2312" w:hAnsi="仿宋_GB2312" w:eastAsia="仿宋_GB2312" w:cs="仿宋_GB2312"/>
          <w:b w:val="0"/>
          <w:bCs w:val="0"/>
          <w:color w:val="FF0000"/>
          <w:sz w:val="32"/>
          <w:szCs w:val="32"/>
          <w:lang w:val="en-US" w:eastAsia="zh-CN"/>
        </w:rPr>
        <w:t>深入开展摸底行动，精准确定我县政府购买精神障碍社区康复服务对象，确定承接主体，加强培训指导，采取有力措施推动精神障碍社区康复服务工作落地落实。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四是抓好民政领域安全生产工作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，统筹开展民政服务机构消防安全集中排查隐患大整治行动，强化应急处置，把“时时放心不下”的责任感转化为“事事心中有底”的行动力，坚决守好守牢“一排底线”。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rtl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120" w:firstLineChars="1600"/>
        <w:contextualSpacing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兴隆县民政局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17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4800" w:firstLineChars="1500"/>
        <w:contextualSpacing/>
        <w:textAlignment w:val="auto"/>
        <w:rPr>
          <w:rFonts w:hint="default" w:ascii="仿宋_GB2312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 w:bidi="ar-SA"/>
        </w:rPr>
        <w:t>2023年12月19日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587836"/>
    <w:multiLevelType w:val="singleLevel"/>
    <w:tmpl w:val="4D58783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3045C"/>
    <w:rsid w:val="03F01304"/>
    <w:rsid w:val="08DD78A1"/>
    <w:rsid w:val="0D61347A"/>
    <w:rsid w:val="0ED00E73"/>
    <w:rsid w:val="16252961"/>
    <w:rsid w:val="19EA650F"/>
    <w:rsid w:val="1EE60361"/>
    <w:rsid w:val="283913D9"/>
    <w:rsid w:val="2AD51574"/>
    <w:rsid w:val="32EB1AD8"/>
    <w:rsid w:val="333A5219"/>
    <w:rsid w:val="36EF16C9"/>
    <w:rsid w:val="42FD3DE8"/>
    <w:rsid w:val="4A1F500B"/>
    <w:rsid w:val="51842135"/>
    <w:rsid w:val="58773B78"/>
    <w:rsid w:val="5A171FFD"/>
    <w:rsid w:val="6A072E6E"/>
    <w:rsid w:val="6F13045C"/>
    <w:rsid w:val="70002483"/>
    <w:rsid w:val="740C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6"/>
    <w:qFormat/>
    <w:uiPriority w:val="0"/>
    <w:rPr>
      <w:rFonts w:ascii="宋体" w:hAnsi="Courier New"/>
      <w:kern w:val="0"/>
      <w:sz w:val="20"/>
      <w:szCs w:val="21"/>
    </w:rPr>
  </w:style>
  <w:style w:type="paragraph" w:styleId="6">
    <w:name w:val="index 9"/>
    <w:basedOn w:val="1"/>
    <w:next w:val="1"/>
    <w:unhideWhenUsed/>
    <w:qFormat/>
    <w:uiPriority w:val="99"/>
    <w:pPr>
      <w:ind w:left="3360"/>
    </w:pPr>
    <w:rPr>
      <w:rFonts w:ascii="Times New Roman" w:hAnsi="Times New Roman" w:eastAsia="宋体" w:cs="等线"/>
      <w:szCs w:val="21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Cs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3">
    <w:name w:val="章标题"/>
    <w:basedOn w:val="8"/>
    <w:qFormat/>
    <w:uiPriority w:val="0"/>
    <w:pPr>
      <w:widowControl w:val="0"/>
      <w:spacing w:before="240" w:after="60" w:line="360" w:lineRule="auto"/>
      <w:jc w:val="center"/>
      <w:outlineLvl w:val="0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2023-12-19T01:40:00Z</dcterms:created>
  <dc:creator>Administrator</dc:creator>
  <cp:lastModifiedBy>Administrator</cp:lastModifiedBy>
  <dcterms:modified xsi:type="dcterms:W3CDTF">2024-03-05T06:26:36Z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3A2C2CC7FCDF40278331369744560F19</vt:lpwstr>
  </property>
</Properties>
</file>