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rPr>
          <w:rFonts w:ascii="Times New Roman"/>
          <w:sz w:val="20"/>
        </w:rPr>
      </w:pPr>
    </w:p>
    <w:p>
      <w:pPr>
        <w:pStyle w:val="9"/>
        <w:rPr>
          <w:rFonts w:ascii="Times New Roman"/>
          <w:sz w:val="20"/>
        </w:rPr>
      </w:pPr>
    </w:p>
    <w:p>
      <w:pPr>
        <w:pStyle w:val="9"/>
        <w:rPr>
          <w:rFonts w:ascii="Times New Roman"/>
          <w:sz w:val="20"/>
        </w:rPr>
      </w:pPr>
    </w:p>
    <w:p>
      <w:pPr>
        <w:pStyle w:val="9"/>
        <w:keepNext w:val="0"/>
        <w:keepLines w:val="0"/>
        <w:pageBreakBefore w:val="0"/>
        <w:widowControl w:val="0"/>
        <w:kinsoku/>
        <w:wordWrap/>
        <w:overflowPunct/>
        <w:topLinePunct w:val="0"/>
        <w:autoSpaceDE w:val="0"/>
        <w:autoSpaceDN w:val="0"/>
        <w:bidi w:val="0"/>
        <w:adjustRightInd/>
        <w:snapToGrid/>
        <w:spacing w:line="360" w:lineRule="auto"/>
        <w:textAlignment w:val="auto"/>
        <w:rPr>
          <w:rFonts w:ascii="Times New Roman"/>
          <w:sz w:val="20"/>
        </w:rPr>
      </w:pPr>
    </w:p>
    <w:p>
      <w:pPr>
        <w:pStyle w:val="9"/>
        <w:keepNext w:val="0"/>
        <w:keepLines w:val="0"/>
        <w:pageBreakBefore w:val="0"/>
        <w:widowControl w:val="0"/>
        <w:kinsoku/>
        <w:wordWrap/>
        <w:overflowPunct/>
        <w:topLinePunct w:val="0"/>
        <w:autoSpaceDE w:val="0"/>
        <w:autoSpaceDN w:val="0"/>
        <w:bidi w:val="0"/>
        <w:adjustRightInd/>
        <w:snapToGrid/>
        <w:spacing w:before="2" w:line="360" w:lineRule="auto"/>
        <w:textAlignment w:val="auto"/>
        <w:rPr>
          <w:rFonts w:ascii="Times New Roman"/>
          <w:sz w:val="21"/>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b/>
          <w:bCs/>
          <w:sz w:val="36"/>
          <w:szCs w:val="36"/>
        </w:rPr>
      </w:pPr>
      <w:r>
        <w:rPr>
          <w:rFonts w:hint="eastAsia"/>
          <w:b/>
          <w:bCs/>
          <w:sz w:val="72"/>
          <w:szCs w:val="72"/>
        </w:rPr>
        <w:t>建设项目环境影响报告表</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b/>
          <w:bCs/>
          <w:sz w:val="44"/>
          <w:szCs w:val="44"/>
        </w:rPr>
      </w:pPr>
      <w:r>
        <w:rPr>
          <w:rFonts w:hint="eastAsia"/>
          <w:b/>
          <w:bCs/>
          <w:sz w:val="44"/>
          <w:szCs w:val="44"/>
        </w:rPr>
        <w:t>（污染影响类）</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sz w:val="36"/>
          <w:szCs w:val="36"/>
        </w:rPr>
      </w:pPr>
    </w:p>
    <w:p>
      <w:pPr>
        <w:bidi w:val="0"/>
        <w:jc w:val="center"/>
        <w:rPr>
          <w:sz w:val="36"/>
          <w:szCs w:val="36"/>
        </w:rPr>
      </w:pPr>
    </w:p>
    <w:p>
      <w:pPr>
        <w:bidi w:val="0"/>
        <w:jc w:val="center"/>
        <w:rPr>
          <w:sz w:val="36"/>
          <w:szCs w:val="36"/>
        </w:rPr>
      </w:pPr>
    </w:p>
    <w:p>
      <w:pPr>
        <w:bidi w:val="0"/>
        <w:jc w:val="both"/>
        <w:rPr>
          <w:sz w:val="36"/>
          <w:szCs w:val="36"/>
        </w:rPr>
      </w:pPr>
    </w:p>
    <w:p>
      <w:pPr>
        <w:bidi w:val="0"/>
        <w:jc w:val="both"/>
        <w:rPr>
          <w:sz w:val="36"/>
          <w:szCs w:val="36"/>
        </w:rPr>
      </w:pPr>
    </w:p>
    <w:p>
      <w:pPr>
        <w:keepNext w:val="0"/>
        <w:keepLines w:val="0"/>
        <w:pageBreakBefore w:val="0"/>
        <w:widowControl w:val="0"/>
        <w:kinsoku/>
        <w:wordWrap/>
        <w:overflowPunct/>
        <w:topLinePunct w:val="0"/>
        <w:autoSpaceDE w:val="0"/>
        <w:autoSpaceDN w:val="0"/>
        <w:bidi w:val="0"/>
        <w:adjustRightInd/>
        <w:snapToGrid/>
        <w:spacing w:line="360" w:lineRule="auto"/>
        <w:ind w:firstLine="321" w:firstLineChars="100"/>
        <w:jc w:val="left"/>
        <w:textAlignment w:val="auto"/>
        <w:rPr>
          <w:rFonts w:hint="eastAsia" w:ascii="宋体" w:hAnsi="宋体" w:eastAsia="宋体" w:cs="宋体"/>
          <w:b/>
          <w:bCs/>
          <w:sz w:val="32"/>
          <w:szCs w:val="32"/>
        </w:rPr>
      </w:pPr>
      <w:r>
        <w:rPr>
          <w:rFonts w:hint="eastAsia" w:ascii="宋体" w:hAnsi="宋体" w:eastAsia="宋体" w:cs="宋体"/>
          <w:b/>
          <w:bCs/>
          <w:sz w:val="32"/>
          <w:szCs w:val="32"/>
        </w:rPr>
        <w:t>项目名称：</w:t>
      </w:r>
      <w:r>
        <w:rPr>
          <w:rFonts w:hint="eastAsia" w:ascii="宋体" w:hAnsi="宋体" w:eastAsia="宋体" w:cs="宋体"/>
          <w:b w:val="0"/>
          <w:bCs w:val="0"/>
          <w:sz w:val="32"/>
          <w:szCs w:val="32"/>
          <w:u w:val="single"/>
          <w:lang w:val="en-US" w:eastAsia="zh-CN"/>
        </w:rPr>
        <w:t xml:space="preserve"> </w:t>
      </w:r>
      <w:r>
        <w:rPr>
          <w:rFonts w:hint="default" w:ascii="Times New Roman" w:hAnsi="Times New Roman" w:cs="Times New Roman"/>
          <w:b/>
          <w:bCs/>
          <w:color w:val="auto"/>
          <w:sz w:val="32"/>
          <w:szCs w:val="32"/>
          <w:highlight w:val="none"/>
          <w:u w:val="single"/>
          <w:lang w:eastAsia="zh-CN"/>
        </w:rPr>
        <w:t>兴隆县陡子峪乡环境综合治理项目</w:t>
      </w:r>
      <w:r>
        <w:rPr>
          <w:rFonts w:hint="eastAsia" w:ascii="Times New Roman" w:hAnsi="Times New Roman" w:cs="Times New Roman"/>
          <w:b/>
          <w:bCs/>
          <w:color w:val="auto"/>
          <w:sz w:val="32"/>
          <w:szCs w:val="32"/>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321" w:firstLineChars="100"/>
        <w:jc w:val="left"/>
        <w:textAlignment w:val="auto"/>
        <w:rPr>
          <w:rFonts w:hint="eastAsia" w:ascii="宋体" w:hAnsi="宋体" w:eastAsia="宋体" w:cs="宋体"/>
          <w:b/>
          <w:bCs/>
          <w:sz w:val="32"/>
          <w:szCs w:val="32"/>
        </w:rPr>
      </w:pPr>
      <w:r>
        <w:rPr>
          <w:rFonts w:hint="eastAsia" w:ascii="宋体" w:hAnsi="宋体" w:eastAsia="宋体" w:cs="宋体"/>
          <w:b/>
          <w:bCs/>
          <w:sz w:val="32"/>
          <w:szCs w:val="32"/>
        </w:rPr>
        <w:t>建设单位（盖章）：</w:t>
      </w:r>
      <w:r>
        <w:rPr>
          <w:rFonts w:hint="eastAsia" w:ascii="宋体" w:hAnsi="宋体" w:cs="宋体"/>
          <w:b/>
          <w:bCs/>
          <w:sz w:val="32"/>
          <w:szCs w:val="32"/>
          <w:u w:val="thick"/>
          <w:lang w:val="en-US" w:eastAsia="zh-CN"/>
        </w:rPr>
        <w:t>承德市生态环境局兴隆县分局</w:t>
      </w:r>
      <w:r>
        <w:rPr>
          <w:rFonts w:hint="eastAsia" w:ascii="宋体" w:hAnsi="宋体" w:eastAsia="宋体" w:cs="宋体"/>
          <w:b/>
          <w:bCs/>
          <w:sz w:val="32"/>
          <w:szCs w:val="32"/>
          <w:u w:val="thick"/>
          <w:lang w:val="en-US" w:eastAsia="zh-CN"/>
        </w:rPr>
        <w:t xml:space="preserve"> </w:t>
      </w:r>
      <w:r>
        <w:rPr>
          <w:rFonts w:hint="eastAsia" w:ascii="宋体" w:hAnsi="宋体" w:eastAsia="宋体" w:cs="宋体"/>
          <w:b/>
          <w:bCs/>
          <w:sz w:val="32"/>
          <w:szCs w:val="32"/>
          <w:u w:val="thick"/>
        </w:rPr>
        <w:tab/>
      </w:r>
      <w:r>
        <w:rPr>
          <w:rFonts w:hint="eastAsia" w:ascii="宋体" w:hAnsi="宋体" w:eastAsia="宋体" w:cs="宋体"/>
          <w:b/>
          <w:bCs/>
          <w:sz w:val="32"/>
          <w:szCs w:val="32"/>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321" w:firstLineChars="100"/>
        <w:jc w:val="both"/>
        <w:textAlignment w:val="auto"/>
        <w:rPr>
          <w:rFonts w:hint="eastAsia" w:ascii="宋体" w:hAnsi="宋体" w:eastAsia="宋体" w:cs="宋体"/>
          <w:b/>
          <w:bCs/>
          <w:sz w:val="32"/>
          <w:szCs w:val="32"/>
          <w:u w:val="single"/>
          <w:lang w:val="en-US" w:eastAsia="zh-CN"/>
        </w:rPr>
      </w:pPr>
      <w:r>
        <w:rPr>
          <w:rFonts w:hint="eastAsia" w:ascii="宋体" w:hAnsi="宋体" w:eastAsia="宋体" w:cs="宋体"/>
          <w:b/>
          <w:bCs/>
          <w:sz w:val="32"/>
          <w:szCs w:val="32"/>
        </w:rPr>
        <w:t>编制日期：</w:t>
      </w:r>
      <w:r>
        <w:rPr>
          <w:rFonts w:hint="eastAsia" w:ascii="宋体" w:hAnsi="宋体" w:eastAsia="宋体" w:cs="宋体"/>
          <w:b/>
          <w:bCs/>
          <w:sz w:val="32"/>
          <w:szCs w:val="32"/>
          <w:u w:val="single"/>
          <w:lang w:val="en-US" w:eastAsia="zh-CN"/>
        </w:rPr>
        <w:t xml:space="preserve">   </w:t>
      </w:r>
      <w:r>
        <w:rPr>
          <w:rFonts w:hint="eastAsia" w:ascii="宋体" w:hAnsi="宋体" w:cs="宋体"/>
          <w:b/>
          <w:bCs/>
          <w:sz w:val="32"/>
          <w:szCs w:val="32"/>
          <w:u w:val="single"/>
          <w:lang w:val="en-US" w:eastAsia="zh-CN"/>
        </w:rPr>
        <w:t xml:space="preserve">     </w:t>
      </w:r>
      <w:r>
        <w:rPr>
          <w:rFonts w:hint="eastAsia" w:ascii="宋体" w:hAnsi="宋体" w:eastAsia="宋体" w:cs="宋体"/>
          <w:b/>
          <w:bCs/>
          <w:sz w:val="32"/>
          <w:szCs w:val="32"/>
          <w:u w:val="single"/>
          <w:lang w:val="en-US" w:eastAsia="zh-CN"/>
        </w:rPr>
        <w:t xml:space="preserve"> </w:t>
      </w:r>
      <w:r>
        <w:rPr>
          <w:rFonts w:hint="eastAsia" w:ascii="宋体" w:hAnsi="宋体" w:cs="宋体"/>
          <w:b/>
          <w:bCs/>
          <w:sz w:val="32"/>
          <w:szCs w:val="32"/>
          <w:u w:val="single"/>
          <w:lang w:val="en-US" w:eastAsia="zh-CN"/>
        </w:rPr>
        <w:t>2021年6月</w:t>
      </w:r>
      <w:r>
        <w:rPr>
          <w:rFonts w:hint="eastAsia" w:ascii="宋体" w:hAnsi="宋体" w:eastAsia="宋体" w:cs="宋体"/>
          <w:b/>
          <w:bCs/>
          <w:sz w:val="32"/>
          <w:szCs w:val="32"/>
          <w:u w:val="single"/>
          <w:lang w:val="en-US" w:eastAsia="zh-CN"/>
        </w:rPr>
        <w:t xml:space="preserve">     </w:t>
      </w:r>
      <w:r>
        <w:rPr>
          <w:rFonts w:hint="eastAsia" w:ascii="宋体" w:hAnsi="宋体" w:cs="宋体"/>
          <w:b/>
          <w:bCs/>
          <w:sz w:val="32"/>
          <w:szCs w:val="32"/>
          <w:u w:val="single"/>
          <w:lang w:val="en-US" w:eastAsia="zh-CN"/>
        </w:rPr>
        <w:t xml:space="preserve">          </w:t>
      </w:r>
      <w:r>
        <w:rPr>
          <w:rFonts w:hint="eastAsia" w:cs="宋体"/>
          <w:b/>
          <w:bCs/>
          <w:sz w:val="32"/>
          <w:szCs w:val="32"/>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sz w:val="36"/>
          <w:szCs w:val="36"/>
        </w:rPr>
      </w:pPr>
    </w:p>
    <w:p>
      <w:pPr>
        <w:bidi w:val="0"/>
        <w:jc w:val="center"/>
        <w:rPr>
          <w:sz w:val="36"/>
          <w:szCs w:val="36"/>
        </w:rPr>
      </w:pPr>
    </w:p>
    <w:p>
      <w:pPr>
        <w:bidi w:val="0"/>
        <w:jc w:val="center"/>
        <w:rPr>
          <w:sz w:val="36"/>
          <w:szCs w:val="36"/>
        </w:rPr>
      </w:pPr>
    </w:p>
    <w:p>
      <w:pPr>
        <w:bidi w:val="0"/>
        <w:jc w:val="center"/>
        <w:rPr>
          <w:sz w:val="36"/>
          <w:szCs w:val="36"/>
        </w:rPr>
      </w:pPr>
    </w:p>
    <w:p>
      <w:pPr>
        <w:pStyle w:val="7"/>
        <w:rPr>
          <w:sz w:val="36"/>
          <w:szCs w:val="36"/>
        </w:rPr>
      </w:pPr>
    </w:p>
    <w:p>
      <w:pPr>
        <w:rPr>
          <w:sz w:val="36"/>
          <w:szCs w:val="36"/>
        </w:rPr>
      </w:pPr>
    </w:p>
    <w:p>
      <w:pPr>
        <w:pStyle w:val="7"/>
      </w:pPr>
    </w:p>
    <w:p>
      <w:pPr>
        <w:bidi w:val="0"/>
        <w:jc w:val="both"/>
        <w:rPr>
          <w:sz w:val="36"/>
          <w:szCs w:val="36"/>
        </w:rPr>
      </w:pPr>
    </w:p>
    <w:p>
      <w:pPr>
        <w:bidi w:val="0"/>
        <w:jc w:val="both"/>
        <w:rPr>
          <w:rFonts w:hint="eastAsia"/>
          <w:sz w:val="36"/>
          <w:szCs w:val="36"/>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sz w:val="36"/>
          <w:szCs w:val="36"/>
        </w:rPr>
      </w:pPr>
      <w:r>
        <w:rPr>
          <w:rFonts w:hint="eastAsia" w:ascii="宋体" w:hAnsi="宋体" w:eastAsia="宋体" w:cs="宋体"/>
          <w:b/>
          <w:bCs/>
          <w:sz w:val="36"/>
          <w:szCs w:val="36"/>
        </w:rPr>
        <w:t>中华人民共和国生态环境部制</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ascii="Times New Roman" w:eastAsia="Times New Roman"/>
          <w:u w:val="single"/>
        </w:rPr>
        <w:sectPr>
          <w:footerReference r:id="rId5" w:type="default"/>
          <w:footerReference r:id="rId6" w:type="even"/>
          <w:pgSz w:w="11850" w:h="16783"/>
          <w:pgMar w:top="1440" w:right="1440" w:bottom="1440" w:left="1440" w:header="720" w:footer="1043" w:gutter="0"/>
          <w:pgNumType w:start="3"/>
          <w:cols w:space="720" w:num="1"/>
        </w:sectPr>
      </w:pPr>
    </w:p>
    <w:p>
      <w:pPr>
        <w:pStyle w:val="3"/>
        <w:bidi w:val="0"/>
        <w:rPr>
          <w:sz w:val="21"/>
        </w:rPr>
      </w:pPr>
      <w:r>
        <w:rPr>
          <w:rFonts w:hint="eastAsia"/>
        </w:rPr>
        <w:t>一、建设项目基本情况</w:t>
      </w:r>
    </w:p>
    <w:tbl>
      <w:tblPr>
        <w:tblStyle w:val="15"/>
        <w:tblW w:w="0" w:type="auto"/>
        <w:tblInd w:w="19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2178"/>
        <w:gridCol w:w="1725"/>
        <w:gridCol w:w="2010"/>
        <w:gridCol w:w="295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13" w:hRule="atLeast"/>
        </w:trPr>
        <w:tc>
          <w:tcPr>
            <w:tcW w:w="2178" w:type="dxa"/>
            <w:tcBorders>
              <w:bottom w:val="single" w:color="000000" w:sz="4" w:space="0"/>
              <w:right w:val="single" w:color="000000" w:sz="4" w:space="0"/>
            </w:tcBorders>
            <w:vAlign w:val="center"/>
          </w:tcPr>
          <w:p>
            <w:pPr>
              <w:bidi w:val="0"/>
              <w:rPr>
                <w:rFonts w:hint="default"/>
                <w:sz w:val="24"/>
                <w:szCs w:val="24"/>
              </w:rPr>
            </w:pPr>
            <w:r>
              <w:rPr>
                <w:rFonts w:hint="default"/>
                <w:sz w:val="24"/>
                <w:szCs w:val="24"/>
              </w:rPr>
              <w:t>建设项目名称</w:t>
            </w:r>
          </w:p>
        </w:tc>
        <w:tc>
          <w:tcPr>
            <w:tcW w:w="6690" w:type="dxa"/>
            <w:gridSpan w:val="3"/>
            <w:tcBorders>
              <w:left w:val="single" w:color="000000" w:sz="4" w:space="0"/>
              <w:bottom w:val="single" w:color="000000" w:sz="4" w:space="0"/>
            </w:tcBorders>
            <w:vAlign w:val="center"/>
          </w:tcPr>
          <w:p>
            <w:pPr>
              <w:bidi w:val="0"/>
              <w:rPr>
                <w:rFonts w:hint="default"/>
                <w:sz w:val="24"/>
                <w:szCs w:val="24"/>
              </w:rPr>
            </w:pPr>
            <w:r>
              <w:rPr>
                <w:rFonts w:hint="default" w:ascii="Times New Roman" w:hAnsi="Times New Roman" w:cs="Times New Roman"/>
                <w:color w:val="auto"/>
                <w:highlight w:val="none"/>
                <w:lang w:eastAsia="zh-CN"/>
              </w:rPr>
              <w:t>兴隆县陡子峪乡环境综合治理项目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2178" w:type="dxa"/>
            <w:tcBorders>
              <w:top w:val="single" w:color="000000" w:sz="4" w:space="0"/>
              <w:bottom w:val="single" w:color="000000" w:sz="4" w:space="0"/>
              <w:right w:val="single" w:color="000000" w:sz="4" w:space="0"/>
            </w:tcBorders>
            <w:vAlign w:val="center"/>
          </w:tcPr>
          <w:p>
            <w:pPr>
              <w:bidi w:val="0"/>
              <w:rPr>
                <w:rFonts w:hint="default"/>
                <w:sz w:val="24"/>
                <w:szCs w:val="24"/>
              </w:rPr>
            </w:pPr>
            <w:r>
              <w:rPr>
                <w:rFonts w:hint="default"/>
                <w:sz w:val="24"/>
                <w:szCs w:val="24"/>
              </w:rPr>
              <w:t>项目代码</w:t>
            </w:r>
          </w:p>
        </w:tc>
        <w:tc>
          <w:tcPr>
            <w:tcW w:w="6690" w:type="dxa"/>
            <w:gridSpan w:val="3"/>
            <w:tcBorders>
              <w:top w:val="single" w:color="000000" w:sz="4" w:space="0"/>
              <w:left w:val="single" w:color="000000" w:sz="4" w:space="0"/>
              <w:bottom w:val="single" w:color="000000" w:sz="4" w:space="0"/>
            </w:tcBorders>
            <w:vAlign w:val="center"/>
          </w:tcPr>
          <w:p>
            <w:pPr>
              <w:bidi w:val="0"/>
              <w:rPr>
                <w:rFonts w:hint="default" w:eastAsia="宋体"/>
                <w:sz w:val="24"/>
                <w:szCs w:val="24"/>
                <w:lang w:val="en-US" w:eastAsia="zh-CN"/>
              </w:rPr>
            </w:pPr>
            <w:r>
              <w:rPr>
                <w:rFonts w:hint="eastAsia"/>
                <w:sz w:val="24"/>
                <w:szCs w:val="24"/>
                <w:lang w:val="en-US" w:eastAsia="zh-CN"/>
              </w:rPr>
              <w:t>2104-130822-89-01-519465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2178" w:type="dxa"/>
            <w:tcBorders>
              <w:top w:val="single" w:color="000000" w:sz="4" w:space="0"/>
              <w:bottom w:val="single" w:color="000000" w:sz="4" w:space="0"/>
              <w:right w:val="single" w:color="000000" w:sz="4" w:space="0"/>
            </w:tcBorders>
            <w:vAlign w:val="center"/>
          </w:tcPr>
          <w:p>
            <w:pPr>
              <w:bidi w:val="0"/>
              <w:rPr>
                <w:rFonts w:hint="default"/>
                <w:sz w:val="24"/>
                <w:szCs w:val="24"/>
              </w:rPr>
            </w:pPr>
            <w:r>
              <w:rPr>
                <w:rFonts w:hint="default"/>
                <w:sz w:val="24"/>
                <w:szCs w:val="24"/>
              </w:rPr>
              <w:t>建设单位联系人</w:t>
            </w:r>
          </w:p>
        </w:tc>
        <w:tc>
          <w:tcPr>
            <w:tcW w:w="1725" w:type="dxa"/>
            <w:tcBorders>
              <w:top w:val="single" w:color="000000" w:sz="4" w:space="0"/>
              <w:left w:val="single" w:color="000000" w:sz="4" w:space="0"/>
              <w:bottom w:val="single" w:color="000000" w:sz="4" w:space="0"/>
              <w:right w:val="single" w:color="000000" w:sz="4" w:space="0"/>
            </w:tcBorders>
            <w:vAlign w:val="center"/>
          </w:tcPr>
          <w:p>
            <w:pPr>
              <w:bidi w:val="0"/>
              <w:rPr>
                <w:rFonts w:hint="eastAsia" w:eastAsia="宋体"/>
                <w:sz w:val="24"/>
                <w:szCs w:val="24"/>
                <w:lang w:val="en-US" w:eastAsia="zh-CN"/>
              </w:rPr>
            </w:pPr>
            <w:r>
              <w:rPr>
                <w:rFonts w:hint="eastAsia"/>
                <w:sz w:val="24"/>
                <w:szCs w:val="24"/>
                <w:lang w:val="en-US" w:eastAsia="zh-CN"/>
              </w:rPr>
              <w:t>李春雨</w:t>
            </w:r>
          </w:p>
        </w:tc>
        <w:tc>
          <w:tcPr>
            <w:tcW w:w="2010" w:type="dxa"/>
            <w:tcBorders>
              <w:top w:val="single" w:color="000000" w:sz="4" w:space="0"/>
              <w:left w:val="single" w:color="000000" w:sz="4" w:space="0"/>
              <w:bottom w:val="single" w:color="000000" w:sz="4" w:space="0"/>
              <w:right w:val="single" w:color="000000" w:sz="4" w:space="0"/>
            </w:tcBorders>
            <w:vAlign w:val="center"/>
          </w:tcPr>
          <w:p>
            <w:pPr>
              <w:bidi w:val="0"/>
              <w:rPr>
                <w:rFonts w:hint="default"/>
                <w:sz w:val="24"/>
                <w:szCs w:val="24"/>
              </w:rPr>
            </w:pPr>
            <w:r>
              <w:rPr>
                <w:rFonts w:hint="default"/>
                <w:sz w:val="24"/>
                <w:szCs w:val="24"/>
              </w:rPr>
              <w:t>联系方式</w:t>
            </w:r>
          </w:p>
        </w:tc>
        <w:tc>
          <w:tcPr>
            <w:tcW w:w="2955" w:type="dxa"/>
            <w:tcBorders>
              <w:top w:val="single" w:color="000000" w:sz="4" w:space="0"/>
              <w:left w:val="single" w:color="000000" w:sz="4" w:space="0"/>
              <w:bottom w:val="single" w:color="000000" w:sz="4" w:space="0"/>
            </w:tcBorders>
            <w:vAlign w:val="center"/>
          </w:tcPr>
          <w:p>
            <w:pPr>
              <w:bidi w:val="0"/>
              <w:rPr>
                <w:rFonts w:hint="default" w:eastAsia="宋体"/>
                <w:sz w:val="24"/>
                <w:szCs w:val="24"/>
                <w:lang w:val="en-US" w:eastAsia="zh-CN"/>
              </w:rPr>
            </w:pPr>
            <w:r>
              <w:rPr>
                <w:rFonts w:hint="eastAsia"/>
                <w:sz w:val="24"/>
                <w:szCs w:val="24"/>
                <w:lang w:val="en-US" w:eastAsia="zh-CN"/>
              </w:rPr>
              <w:t>13343397888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7" w:hRule="atLeast"/>
        </w:trPr>
        <w:tc>
          <w:tcPr>
            <w:tcW w:w="2178" w:type="dxa"/>
            <w:tcBorders>
              <w:top w:val="single" w:color="000000" w:sz="4" w:space="0"/>
              <w:bottom w:val="single" w:color="000000" w:sz="4" w:space="0"/>
              <w:right w:val="single" w:color="000000" w:sz="4" w:space="0"/>
            </w:tcBorders>
            <w:vAlign w:val="center"/>
          </w:tcPr>
          <w:p>
            <w:pPr>
              <w:bidi w:val="0"/>
              <w:rPr>
                <w:rFonts w:hint="default"/>
                <w:sz w:val="24"/>
                <w:szCs w:val="24"/>
              </w:rPr>
            </w:pPr>
            <w:r>
              <w:rPr>
                <w:rFonts w:hint="default"/>
                <w:sz w:val="24"/>
                <w:szCs w:val="24"/>
              </w:rPr>
              <w:t>建设地点</w:t>
            </w:r>
          </w:p>
        </w:tc>
        <w:tc>
          <w:tcPr>
            <w:tcW w:w="6690" w:type="dxa"/>
            <w:gridSpan w:val="3"/>
            <w:tcBorders>
              <w:top w:val="single" w:color="000000" w:sz="4" w:space="0"/>
              <w:left w:val="single" w:color="000000" w:sz="4" w:space="0"/>
              <w:bottom w:val="single" w:color="000000" w:sz="4" w:space="0"/>
            </w:tcBorders>
            <w:vAlign w:val="center"/>
          </w:tcPr>
          <w:p>
            <w:pPr>
              <w:bidi w:val="0"/>
              <w:rPr>
                <w:rFonts w:hint="eastAsia"/>
                <w:szCs w:val="24"/>
                <w:lang w:val="en-US" w:eastAsia="zh-CN"/>
              </w:rPr>
            </w:pPr>
            <w:r>
              <w:rPr>
                <w:rFonts w:hint="default"/>
                <w:lang w:val="en-US" w:eastAsia="zh-CN"/>
              </w:rPr>
              <w:t>兴隆县陡子峪乡</w:t>
            </w:r>
            <w:r>
              <w:rPr>
                <w:rFonts w:hint="default"/>
                <w:lang w:eastAsia="zh-CN"/>
              </w:rPr>
              <w:t>东陡子峪村、西陡子峪村、沥水沟村、思家岭</w:t>
            </w:r>
            <w:r>
              <w:rPr>
                <w:rFonts w:hint="default"/>
                <w:lang w:val="en-US" w:eastAsia="zh-CN"/>
              </w:rPr>
              <w:t>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13" w:hRule="atLeast"/>
        </w:trPr>
        <w:tc>
          <w:tcPr>
            <w:tcW w:w="2178" w:type="dxa"/>
            <w:tcBorders>
              <w:top w:val="single" w:color="000000" w:sz="4" w:space="0"/>
              <w:bottom w:val="single" w:color="000000" w:sz="4" w:space="0"/>
              <w:right w:val="single" w:color="000000" w:sz="4" w:space="0"/>
            </w:tcBorders>
            <w:vAlign w:val="center"/>
          </w:tcPr>
          <w:p>
            <w:pPr>
              <w:bidi w:val="0"/>
              <w:rPr>
                <w:rFonts w:hint="default"/>
                <w:sz w:val="24"/>
                <w:szCs w:val="24"/>
              </w:rPr>
            </w:pPr>
            <w:r>
              <w:rPr>
                <w:rFonts w:hint="default"/>
                <w:sz w:val="24"/>
                <w:szCs w:val="24"/>
              </w:rPr>
              <w:t>地理坐标</w:t>
            </w:r>
          </w:p>
        </w:tc>
        <w:tc>
          <w:tcPr>
            <w:tcW w:w="6690" w:type="dxa"/>
            <w:gridSpan w:val="3"/>
            <w:tcBorders>
              <w:top w:val="single" w:color="000000" w:sz="4" w:space="0"/>
              <w:left w:val="single" w:color="000000" w:sz="4" w:space="0"/>
              <w:bottom w:val="single" w:color="000000" w:sz="4" w:space="0"/>
            </w:tcBorders>
            <w:vAlign w:val="center"/>
          </w:tcPr>
          <w:p>
            <w:pPr>
              <w:bidi w:val="0"/>
              <w:rPr>
                <w:rFonts w:hint="eastAsia" w:eastAsia="宋体"/>
                <w:sz w:val="24"/>
                <w:szCs w:val="24"/>
                <w:lang w:val="en-US" w:eastAsia="zh-CN"/>
              </w:rPr>
            </w:pPr>
            <w:r>
              <w:rPr>
                <w:rFonts w:hint="eastAsia"/>
                <w:sz w:val="24"/>
                <w:szCs w:val="24"/>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77" w:hRule="atLeast"/>
        </w:trPr>
        <w:tc>
          <w:tcPr>
            <w:tcW w:w="2178" w:type="dxa"/>
            <w:tcBorders>
              <w:top w:val="single" w:color="000000" w:sz="4" w:space="0"/>
              <w:bottom w:val="single" w:color="000000" w:sz="4" w:space="0"/>
              <w:right w:val="single" w:color="000000" w:sz="4" w:space="0"/>
            </w:tcBorders>
            <w:vAlign w:val="center"/>
          </w:tcPr>
          <w:p>
            <w:pPr>
              <w:bidi w:val="0"/>
              <w:rPr>
                <w:rFonts w:hint="default"/>
                <w:sz w:val="24"/>
                <w:szCs w:val="24"/>
              </w:rPr>
            </w:pPr>
            <w:r>
              <w:rPr>
                <w:rFonts w:hint="default"/>
                <w:sz w:val="24"/>
                <w:szCs w:val="24"/>
              </w:rPr>
              <w:t>国民经济行业类别</w:t>
            </w:r>
          </w:p>
        </w:tc>
        <w:tc>
          <w:tcPr>
            <w:tcW w:w="172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N7721</w:t>
            </w:r>
            <w:r>
              <w:rPr>
                <w:rFonts w:hint="eastAsia"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水污染治理</w:t>
            </w: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pPr>
            <w:r>
              <w:t>D4620</w:t>
            </w: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pPr>
            <w:r>
              <w:t>污水处理及其再生利用</w:t>
            </w:r>
          </w:p>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color w:val="auto"/>
                <w:lang w:val="en-US" w:eastAsia="zh-CN"/>
              </w:rPr>
            </w:pPr>
            <w:r>
              <w:rPr>
                <w:rFonts w:hint="default"/>
                <w:color w:val="auto"/>
                <w:lang w:val="en-US" w:eastAsia="zh-CN"/>
              </w:rPr>
              <w:t>E4852 管</w:t>
            </w:r>
            <w:r>
              <w:rPr>
                <w:rFonts w:hint="eastAsia"/>
                <w:color w:val="auto"/>
                <w:lang w:val="en-US" w:eastAsia="zh-CN"/>
              </w:rPr>
              <w:t>道</w:t>
            </w:r>
            <w:r>
              <w:rPr>
                <w:rFonts w:hint="default"/>
                <w:color w:val="auto"/>
                <w:lang w:val="en-US" w:eastAsia="zh-CN"/>
              </w:rPr>
              <w:t>工程建筑</w:t>
            </w:r>
          </w:p>
          <w:p>
            <w:pPr>
              <w:bidi w:val="0"/>
              <w:rPr>
                <w:rFonts w:hint="default"/>
                <w:sz w:val="24"/>
                <w:szCs w:val="24"/>
              </w:rPr>
            </w:pPr>
          </w:p>
        </w:tc>
        <w:tc>
          <w:tcPr>
            <w:tcW w:w="2010" w:type="dxa"/>
            <w:tcBorders>
              <w:top w:val="single" w:color="000000" w:sz="4" w:space="0"/>
              <w:left w:val="single" w:color="000000" w:sz="4" w:space="0"/>
              <w:bottom w:val="single" w:color="000000" w:sz="4" w:space="0"/>
              <w:right w:val="single" w:color="000000" w:sz="4" w:space="0"/>
            </w:tcBorders>
            <w:vAlign w:val="center"/>
          </w:tcPr>
          <w:p>
            <w:pPr>
              <w:bidi w:val="0"/>
              <w:rPr>
                <w:rFonts w:hint="default"/>
                <w:sz w:val="24"/>
                <w:szCs w:val="24"/>
              </w:rPr>
            </w:pPr>
            <w:r>
              <w:rPr>
                <w:rFonts w:hint="default"/>
                <w:sz w:val="24"/>
                <w:szCs w:val="24"/>
              </w:rPr>
              <w:t>建设项目行业类别</w:t>
            </w:r>
          </w:p>
        </w:tc>
        <w:tc>
          <w:tcPr>
            <w:tcW w:w="2955" w:type="dxa"/>
            <w:tcBorders>
              <w:top w:val="single" w:color="000000" w:sz="4" w:space="0"/>
              <w:left w:val="single" w:color="000000" w:sz="4" w:space="0"/>
              <w:bottom w:val="single" w:color="000000" w:sz="4" w:space="0"/>
            </w:tcBorders>
            <w:vAlign w:val="center"/>
          </w:tcPr>
          <w:p>
            <w:pPr>
              <w:bidi w:val="0"/>
              <w:spacing w:line="240" w:lineRule="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五十一、水利-128河湖整治（不含农村塘堰、水渠）-其他</w:t>
            </w:r>
          </w:p>
          <w:p>
            <w:pPr>
              <w:pStyle w:val="2"/>
              <w:spacing w:line="240" w:lineRule="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四十三、水的生产和供应业-96污水处理及其再生利用-其他（不含提标改</w:t>
            </w:r>
          </w:p>
          <w:p>
            <w:pPr>
              <w:pStyle w:val="2"/>
              <w:spacing w:line="240" w:lineRule="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造项目；不含化粪池及化粪池处理后中水处理回用；不含仅建设沉淀池处理的）</w:t>
            </w:r>
          </w:p>
          <w:p>
            <w:pPr>
              <w:spacing w:line="240" w:lineRule="auto"/>
              <w:rPr>
                <w:rFonts w:hint="default"/>
                <w:lang w:val="en-US" w:eastAsia="zh-CN"/>
              </w:rPr>
            </w:pPr>
            <w:r>
              <w:rPr>
                <w:rFonts w:hint="default" w:ascii="Times New Roman" w:hAnsi="Times New Roman" w:eastAsia="宋体" w:cs="Times New Roman"/>
                <w:sz w:val="24"/>
                <w:szCs w:val="24"/>
                <w:lang w:val="en-US" w:eastAsia="zh-CN"/>
              </w:rPr>
              <w:t>五十二、交通运输业、管道运输业-146城市（镇）管网及管廊建设（不含给水管道；不含光纤；不含1.6兆帕及以下的天然气管道）-其他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233" w:hRule="atLeast"/>
        </w:trPr>
        <w:tc>
          <w:tcPr>
            <w:tcW w:w="2178" w:type="dxa"/>
            <w:tcBorders>
              <w:top w:val="single" w:color="000000" w:sz="4" w:space="0"/>
              <w:bottom w:val="single" w:color="000000" w:sz="4" w:space="0"/>
              <w:right w:val="single" w:color="000000" w:sz="4" w:space="0"/>
            </w:tcBorders>
            <w:vAlign w:val="center"/>
          </w:tcPr>
          <w:p>
            <w:pPr>
              <w:bidi w:val="0"/>
              <w:rPr>
                <w:rFonts w:hint="default"/>
                <w:sz w:val="24"/>
                <w:szCs w:val="24"/>
              </w:rPr>
            </w:pPr>
            <w:r>
              <w:rPr>
                <w:rFonts w:hint="default"/>
                <w:sz w:val="24"/>
                <w:szCs w:val="24"/>
              </w:rPr>
              <w:t>建设性质</w:t>
            </w:r>
          </w:p>
        </w:tc>
        <w:tc>
          <w:tcPr>
            <w:tcW w:w="1725" w:type="dxa"/>
            <w:tcBorders>
              <w:top w:val="single" w:color="000000" w:sz="4" w:space="0"/>
              <w:left w:val="single" w:color="000000" w:sz="4" w:space="0"/>
              <w:bottom w:val="single" w:color="000000" w:sz="4" w:space="0"/>
              <w:right w:val="single" w:color="000000" w:sz="4" w:space="0"/>
            </w:tcBorders>
            <w:vAlign w:val="center"/>
          </w:tcPr>
          <w:p>
            <w:pPr>
              <w:bidi w:val="0"/>
              <w:rPr>
                <w:rFonts w:hint="default"/>
                <w:sz w:val="24"/>
                <w:szCs w:val="24"/>
              </w:rPr>
            </w:pPr>
            <w:r>
              <w:rPr>
                <w:rFonts w:hint="default"/>
                <w:sz w:val="24"/>
                <w:szCs w:val="24"/>
              </w:rPr>
              <w:sym w:font="Wingdings 2" w:char="0052"/>
            </w:r>
            <w:r>
              <w:rPr>
                <w:rFonts w:hint="default"/>
                <w:sz w:val="24"/>
                <w:szCs w:val="24"/>
              </w:rPr>
              <w:t>新建（迁建）</w:t>
            </w:r>
          </w:p>
          <w:p>
            <w:pPr>
              <w:bidi w:val="0"/>
              <w:jc w:val="both"/>
              <w:rPr>
                <w:rFonts w:hint="default"/>
                <w:sz w:val="24"/>
                <w:szCs w:val="24"/>
              </w:rPr>
            </w:pPr>
            <w:r>
              <w:rPr>
                <w:rFonts w:hint="default"/>
                <w:sz w:val="24"/>
                <w:szCs w:val="24"/>
              </w:rPr>
              <w:sym w:font="Wingdings 2" w:char="00A3"/>
            </w:r>
            <w:r>
              <w:rPr>
                <w:rFonts w:hint="default"/>
                <w:sz w:val="24"/>
                <w:szCs w:val="24"/>
              </w:rPr>
              <w:t>改建</w:t>
            </w:r>
          </w:p>
          <w:p>
            <w:pPr>
              <w:bidi w:val="0"/>
              <w:jc w:val="both"/>
              <w:rPr>
                <w:rFonts w:hint="default"/>
                <w:sz w:val="24"/>
                <w:szCs w:val="24"/>
              </w:rPr>
            </w:pPr>
            <w:r>
              <w:rPr>
                <w:rFonts w:hint="default"/>
                <w:sz w:val="24"/>
                <w:szCs w:val="24"/>
              </w:rPr>
              <w:sym w:font="Wingdings 2" w:char="00A3"/>
            </w:r>
            <w:r>
              <w:rPr>
                <w:rFonts w:hint="default"/>
                <w:sz w:val="24"/>
                <w:szCs w:val="24"/>
              </w:rPr>
              <w:t>扩建</w:t>
            </w:r>
          </w:p>
          <w:p>
            <w:pPr>
              <w:bidi w:val="0"/>
              <w:jc w:val="both"/>
              <w:rPr>
                <w:rFonts w:hint="default"/>
                <w:sz w:val="24"/>
                <w:szCs w:val="24"/>
              </w:rPr>
            </w:pPr>
            <w:r>
              <w:rPr>
                <w:rFonts w:hint="default"/>
                <w:sz w:val="24"/>
                <w:szCs w:val="24"/>
              </w:rPr>
              <w:sym w:font="Wingdings 2" w:char="00A3"/>
            </w:r>
            <w:r>
              <w:rPr>
                <w:rFonts w:hint="default"/>
                <w:sz w:val="24"/>
                <w:szCs w:val="24"/>
              </w:rPr>
              <w:t>技术改造</w:t>
            </w:r>
          </w:p>
        </w:tc>
        <w:tc>
          <w:tcPr>
            <w:tcW w:w="2010" w:type="dxa"/>
            <w:tcBorders>
              <w:top w:val="single" w:color="000000" w:sz="4" w:space="0"/>
              <w:left w:val="single" w:color="000000" w:sz="4" w:space="0"/>
              <w:bottom w:val="single" w:color="000000" w:sz="4" w:space="0"/>
              <w:right w:val="single" w:color="000000" w:sz="4" w:space="0"/>
            </w:tcBorders>
            <w:vAlign w:val="center"/>
          </w:tcPr>
          <w:p>
            <w:pPr>
              <w:bidi w:val="0"/>
              <w:rPr>
                <w:rFonts w:hint="default"/>
                <w:sz w:val="24"/>
                <w:szCs w:val="24"/>
              </w:rPr>
            </w:pPr>
            <w:r>
              <w:rPr>
                <w:rFonts w:hint="default"/>
                <w:sz w:val="24"/>
                <w:szCs w:val="24"/>
              </w:rPr>
              <w:t>建设项目申报情形</w:t>
            </w:r>
          </w:p>
        </w:tc>
        <w:tc>
          <w:tcPr>
            <w:tcW w:w="2955"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jc w:val="both"/>
              <w:textAlignment w:val="auto"/>
              <w:rPr>
                <w:rFonts w:hint="default"/>
                <w:sz w:val="24"/>
                <w:szCs w:val="24"/>
              </w:rPr>
            </w:pPr>
            <w:r>
              <w:rPr>
                <w:rFonts w:hint="default"/>
                <w:sz w:val="24"/>
                <w:szCs w:val="24"/>
              </w:rPr>
              <w:sym w:font="Wingdings 2" w:char="0052"/>
            </w:r>
            <w:r>
              <w:rPr>
                <w:rFonts w:hint="default"/>
                <w:sz w:val="24"/>
                <w:szCs w:val="24"/>
              </w:rPr>
              <w:t>首次申报项目</w:t>
            </w:r>
          </w:p>
          <w:p>
            <w:pPr>
              <w:keepNext w:val="0"/>
              <w:keepLines w:val="0"/>
              <w:pageBreakBefore w:val="0"/>
              <w:widowControl w:val="0"/>
              <w:kinsoku/>
              <w:wordWrap/>
              <w:overflowPunct/>
              <w:topLinePunct w:val="0"/>
              <w:autoSpaceDE w:val="0"/>
              <w:autoSpaceDN w:val="0"/>
              <w:bidi w:val="0"/>
              <w:adjustRightInd/>
              <w:snapToGrid/>
              <w:textAlignment w:val="auto"/>
              <w:rPr>
                <w:rFonts w:hint="default"/>
                <w:sz w:val="24"/>
                <w:szCs w:val="24"/>
              </w:rPr>
            </w:pPr>
            <w:r>
              <w:rPr>
                <w:rFonts w:hint="default"/>
                <w:sz w:val="24"/>
                <w:szCs w:val="24"/>
              </w:rPr>
              <w:sym w:font="Wingdings 2" w:char="00A3"/>
            </w:r>
            <w:r>
              <w:rPr>
                <w:rFonts w:hint="default"/>
                <w:sz w:val="24"/>
                <w:szCs w:val="24"/>
              </w:rPr>
              <w:t>不予批准后再次申报项目</w:t>
            </w:r>
          </w:p>
          <w:p>
            <w:pPr>
              <w:keepNext w:val="0"/>
              <w:keepLines w:val="0"/>
              <w:pageBreakBefore w:val="0"/>
              <w:widowControl w:val="0"/>
              <w:kinsoku/>
              <w:wordWrap/>
              <w:overflowPunct/>
              <w:topLinePunct w:val="0"/>
              <w:autoSpaceDE w:val="0"/>
              <w:autoSpaceDN w:val="0"/>
              <w:bidi w:val="0"/>
              <w:adjustRightInd/>
              <w:snapToGrid/>
              <w:jc w:val="both"/>
              <w:textAlignment w:val="auto"/>
              <w:rPr>
                <w:rFonts w:hint="default"/>
                <w:sz w:val="24"/>
                <w:szCs w:val="24"/>
              </w:rPr>
            </w:pPr>
            <w:r>
              <w:rPr>
                <w:rFonts w:hint="default"/>
                <w:sz w:val="24"/>
                <w:szCs w:val="24"/>
              </w:rPr>
              <w:sym w:font="Wingdings 2" w:char="00A3"/>
            </w:r>
            <w:r>
              <w:rPr>
                <w:rFonts w:hint="default"/>
                <w:sz w:val="24"/>
                <w:szCs w:val="24"/>
              </w:rPr>
              <w:t>超五年重新审核项目</w:t>
            </w:r>
          </w:p>
          <w:p>
            <w:pPr>
              <w:keepNext w:val="0"/>
              <w:keepLines w:val="0"/>
              <w:pageBreakBefore w:val="0"/>
              <w:widowControl w:val="0"/>
              <w:kinsoku/>
              <w:wordWrap/>
              <w:overflowPunct/>
              <w:topLinePunct w:val="0"/>
              <w:autoSpaceDE w:val="0"/>
              <w:autoSpaceDN w:val="0"/>
              <w:bidi w:val="0"/>
              <w:adjustRightInd/>
              <w:snapToGrid/>
              <w:textAlignment w:val="auto"/>
              <w:rPr>
                <w:rFonts w:hint="default"/>
                <w:sz w:val="24"/>
                <w:szCs w:val="24"/>
              </w:rPr>
            </w:pPr>
            <w:r>
              <w:rPr>
                <w:rFonts w:hint="default"/>
                <w:sz w:val="24"/>
                <w:szCs w:val="24"/>
              </w:rPr>
              <w:sym w:font="Wingdings 2" w:char="00A3"/>
            </w:r>
            <w:r>
              <w:rPr>
                <w:rFonts w:hint="default"/>
                <w:sz w:val="24"/>
                <w:szCs w:val="24"/>
              </w:rPr>
              <w:t>重大变动重新报批项目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68" w:hRule="atLeast"/>
        </w:trPr>
        <w:tc>
          <w:tcPr>
            <w:tcW w:w="2178" w:type="dxa"/>
            <w:tcBorders>
              <w:top w:val="single" w:color="000000" w:sz="4" w:space="0"/>
              <w:bottom w:val="single" w:color="000000" w:sz="4" w:space="0"/>
              <w:right w:val="single" w:color="000000" w:sz="4" w:space="0"/>
            </w:tcBorders>
            <w:vAlign w:val="center"/>
          </w:tcPr>
          <w:p>
            <w:pPr>
              <w:bidi w:val="0"/>
              <w:rPr>
                <w:rFonts w:hint="default"/>
                <w:sz w:val="24"/>
                <w:szCs w:val="24"/>
              </w:rPr>
            </w:pPr>
            <w:r>
              <w:rPr>
                <w:rFonts w:hint="default"/>
                <w:sz w:val="24"/>
                <w:szCs w:val="24"/>
              </w:rPr>
              <w:t>项目审批（核准/备案）部门（选填）</w:t>
            </w:r>
          </w:p>
        </w:tc>
        <w:tc>
          <w:tcPr>
            <w:tcW w:w="1725" w:type="dxa"/>
            <w:tcBorders>
              <w:top w:val="single" w:color="000000" w:sz="4" w:space="0"/>
              <w:left w:val="single" w:color="000000" w:sz="4" w:space="0"/>
              <w:bottom w:val="single" w:color="000000" w:sz="4" w:space="0"/>
              <w:right w:val="single" w:color="000000" w:sz="4" w:space="0"/>
            </w:tcBorders>
            <w:vAlign w:val="center"/>
          </w:tcPr>
          <w:p>
            <w:pPr>
              <w:bidi w:val="0"/>
              <w:rPr>
                <w:rFonts w:hint="default"/>
                <w:sz w:val="24"/>
                <w:szCs w:val="24"/>
                <w:lang w:val="en-US" w:eastAsia="zh-CN"/>
              </w:rPr>
            </w:pPr>
            <w:r>
              <w:rPr>
                <w:rFonts w:hint="eastAsia"/>
                <w:sz w:val="24"/>
                <w:szCs w:val="24"/>
                <w:lang w:val="en-US" w:eastAsia="zh-CN"/>
              </w:rPr>
              <w:t>/</w:t>
            </w:r>
          </w:p>
        </w:tc>
        <w:tc>
          <w:tcPr>
            <w:tcW w:w="2010" w:type="dxa"/>
            <w:tcBorders>
              <w:top w:val="single" w:color="000000" w:sz="4" w:space="0"/>
              <w:left w:val="single" w:color="000000" w:sz="4" w:space="0"/>
              <w:bottom w:val="single" w:color="000000" w:sz="4" w:space="0"/>
              <w:right w:val="single" w:color="000000" w:sz="4" w:space="0"/>
            </w:tcBorders>
            <w:vAlign w:val="center"/>
          </w:tcPr>
          <w:p>
            <w:pPr>
              <w:bidi w:val="0"/>
              <w:rPr>
                <w:rFonts w:hint="default"/>
                <w:sz w:val="24"/>
                <w:szCs w:val="24"/>
              </w:rPr>
            </w:pPr>
            <w:r>
              <w:rPr>
                <w:rFonts w:hint="default"/>
                <w:sz w:val="24"/>
                <w:szCs w:val="24"/>
              </w:rPr>
              <w:t>项目审批（核准/ 备案）文号（选填）</w:t>
            </w:r>
          </w:p>
        </w:tc>
        <w:tc>
          <w:tcPr>
            <w:tcW w:w="2955" w:type="dxa"/>
            <w:tcBorders>
              <w:top w:val="single" w:color="000000" w:sz="4" w:space="0"/>
              <w:left w:val="single" w:color="000000" w:sz="4" w:space="0"/>
              <w:bottom w:val="single" w:color="000000" w:sz="4" w:space="0"/>
            </w:tcBorders>
            <w:vAlign w:val="center"/>
          </w:tcPr>
          <w:p>
            <w:pPr>
              <w:bidi w:val="0"/>
              <w:jc w:val="center"/>
              <w:rPr>
                <w:rFonts w:hint="default" w:eastAsia="宋体"/>
                <w:sz w:val="24"/>
                <w:szCs w:val="24"/>
                <w:lang w:val="en-US" w:eastAsia="zh-CN"/>
              </w:rPr>
            </w:pPr>
            <w:r>
              <w:rPr>
                <w:rFonts w:hint="eastAsia"/>
                <w:sz w:val="24"/>
                <w:szCs w:val="24"/>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13" w:hRule="atLeast"/>
        </w:trPr>
        <w:tc>
          <w:tcPr>
            <w:tcW w:w="2178" w:type="dxa"/>
            <w:tcBorders>
              <w:top w:val="single" w:color="000000" w:sz="4" w:space="0"/>
              <w:bottom w:val="single" w:color="000000" w:sz="4" w:space="0"/>
              <w:right w:val="single" w:color="000000" w:sz="4" w:space="0"/>
            </w:tcBorders>
            <w:vAlign w:val="center"/>
          </w:tcPr>
          <w:p>
            <w:pPr>
              <w:bidi w:val="0"/>
              <w:rPr>
                <w:rFonts w:hint="default"/>
                <w:sz w:val="24"/>
                <w:szCs w:val="24"/>
              </w:rPr>
            </w:pPr>
            <w:r>
              <w:rPr>
                <w:rFonts w:hint="default"/>
                <w:sz w:val="24"/>
                <w:szCs w:val="24"/>
              </w:rPr>
              <w:t>总投资（万元）</w:t>
            </w:r>
          </w:p>
        </w:tc>
        <w:tc>
          <w:tcPr>
            <w:tcW w:w="1725" w:type="dxa"/>
            <w:tcBorders>
              <w:top w:val="single" w:color="000000" w:sz="4" w:space="0"/>
              <w:left w:val="single" w:color="000000" w:sz="4" w:space="0"/>
              <w:bottom w:val="single" w:color="000000" w:sz="4" w:space="0"/>
              <w:right w:val="single" w:color="000000" w:sz="4" w:space="0"/>
            </w:tcBorders>
            <w:vAlign w:val="center"/>
          </w:tcPr>
          <w:p>
            <w:pPr>
              <w:bidi w:val="0"/>
              <w:rPr>
                <w:rFonts w:hint="default" w:eastAsia="宋体"/>
                <w:sz w:val="24"/>
                <w:szCs w:val="24"/>
                <w:lang w:val="en-US" w:eastAsia="zh-CN"/>
              </w:rPr>
            </w:pPr>
            <w:r>
              <w:rPr>
                <w:rFonts w:hint="eastAsia"/>
                <w:sz w:val="24"/>
                <w:szCs w:val="24"/>
                <w:lang w:val="en-US" w:eastAsia="zh-CN"/>
              </w:rPr>
              <w:t>1253.6</w:t>
            </w:r>
          </w:p>
        </w:tc>
        <w:tc>
          <w:tcPr>
            <w:tcW w:w="2010" w:type="dxa"/>
            <w:tcBorders>
              <w:top w:val="single" w:color="000000" w:sz="4" w:space="0"/>
              <w:left w:val="single" w:color="000000" w:sz="4" w:space="0"/>
              <w:bottom w:val="single" w:color="000000" w:sz="4" w:space="0"/>
              <w:right w:val="single" w:color="000000" w:sz="4" w:space="0"/>
            </w:tcBorders>
            <w:vAlign w:val="center"/>
          </w:tcPr>
          <w:p>
            <w:pPr>
              <w:bidi w:val="0"/>
              <w:rPr>
                <w:rFonts w:hint="default"/>
                <w:sz w:val="24"/>
                <w:szCs w:val="24"/>
              </w:rPr>
            </w:pPr>
            <w:r>
              <w:rPr>
                <w:rFonts w:hint="default"/>
                <w:sz w:val="24"/>
                <w:szCs w:val="24"/>
              </w:rPr>
              <w:t>环保投资（万元）</w:t>
            </w:r>
          </w:p>
        </w:tc>
        <w:tc>
          <w:tcPr>
            <w:tcW w:w="2955" w:type="dxa"/>
            <w:tcBorders>
              <w:top w:val="single" w:color="000000" w:sz="4" w:space="0"/>
              <w:left w:val="single" w:color="000000" w:sz="4" w:space="0"/>
              <w:bottom w:val="single" w:color="000000" w:sz="4" w:space="0"/>
            </w:tcBorders>
            <w:vAlign w:val="center"/>
          </w:tcPr>
          <w:p>
            <w:pPr>
              <w:bidi w:val="0"/>
              <w:rPr>
                <w:rFonts w:hint="default" w:eastAsia="宋体"/>
                <w:sz w:val="24"/>
                <w:szCs w:val="24"/>
                <w:lang w:val="en-US" w:eastAsia="zh-CN"/>
              </w:rPr>
            </w:pPr>
            <w:r>
              <w:rPr>
                <w:rFonts w:hint="eastAsia"/>
                <w:sz w:val="24"/>
                <w:szCs w:val="24"/>
                <w:lang w:val="en-US" w:eastAsia="zh-CN"/>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13" w:hRule="atLeast"/>
        </w:trPr>
        <w:tc>
          <w:tcPr>
            <w:tcW w:w="2178" w:type="dxa"/>
            <w:tcBorders>
              <w:top w:val="single" w:color="000000" w:sz="4" w:space="0"/>
              <w:bottom w:val="single" w:color="000000" w:sz="4" w:space="0"/>
              <w:right w:val="single" w:color="000000" w:sz="4" w:space="0"/>
            </w:tcBorders>
            <w:vAlign w:val="center"/>
          </w:tcPr>
          <w:p>
            <w:pPr>
              <w:bidi w:val="0"/>
              <w:rPr>
                <w:rFonts w:hint="default"/>
                <w:sz w:val="24"/>
                <w:szCs w:val="24"/>
              </w:rPr>
            </w:pPr>
            <w:r>
              <w:rPr>
                <w:rFonts w:hint="default"/>
                <w:sz w:val="24"/>
                <w:szCs w:val="24"/>
              </w:rPr>
              <w:t>环保投资占比（%）</w:t>
            </w:r>
          </w:p>
        </w:tc>
        <w:tc>
          <w:tcPr>
            <w:tcW w:w="1725" w:type="dxa"/>
            <w:tcBorders>
              <w:top w:val="single" w:color="000000" w:sz="4" w:space="0"/>
              <w:left w:val="single" w:color="000000" w:sz="4" w:space="0"/>
              <w:bottom w:val="single" w:color="000000" w:sz="4" w:space="0"/>
              <w:right w:val="single" w:color="000000" w:sz="4" w:space="0"/>
            </w:tcBorders>
            <w:vAlign w:val="center"/>
          </w:tcPr>
          <w:p>
            <w:pPr>
              <w:bidi w:val="0"/>
              <w:rPr>
                <w:rFonts w:hint="default" w:eastAsia="宋体"/>
                <w:sz w:val="24"/>
                <w:szCs w:val="24"/>
                <w:lang w:val="en-US" w:eastAsia="zh-CN"/>
              </w:rPr>
            </w:pPr>
            <w:r>
              <w:rPr>
                <w:rFonts w:hint="eastAsia"/>
                <w:sz w:val="24"/>
                <w:szCs w:val="24"/>
                <w:lang w:val="en-US" w:eastAsia="zh-CN"/>
              </w:rPr>
              <w:t>79.77</w:t>
            </w:r>
          </w:p>
        </w:tc>
        <w:tc>
          <w:tcPr>
            <w:tcW w:w="2010" w:type="dxa"/>
            <w:tcBorders>
              <w:top w:val="single" w:color="000000" w:sz="4" w:space="0"/>
              <w:left w:val="single" w:color="000000" w:sz="4" w:space="0"/>
              <w:bottom w:val="single" w:color="000000" w:sz="4" w:space="0"/>
              <w:right w:val="single" w:color="000000" w:sz="4" w:space="0"/>
            </w:tcBorders>
            <w:vAlign w:val="center"/>
          </w:tcPr>
          <w:p>
            <w:pPr>
              <w:bidi w:val="0"/>
              <w:rPr>
                <w:rFonts w:hint="default"/>
                <w:sz w:val="24"/>
                <w:szCs w:val="24"/>
              </w:rPr>
            </w:pPr>
            <w:r>
              <w:rPr>
                <w:rFonts w:hint="default"/>
                <w:sz w:val="24"/>
                <w:szCs w:val="24"/>
              </w:rPr>
              <w:t>施工工期</w:t>
            </w:r>
          </w:p>
        </w:tc>
        <w:tc>
          <w:tcPr>
            <w:tcW w:w="2955" w:type="dxa"/>
            <w:tcBorders>
              <w:top w:val="single" w:color="000000" w:sz="4" w:space="0"/>
              <w:left w:val="single" w:color="000000" w:sz="4" w:space="0"/>
              <w:bottom w:val="single" w:color="000000" w:sz="4" w:space="0"/>
            </w:tcBorders>
            <w:vAlign w:val="center"/>
          </w:tcPr>
          <w:p>
            <w:pPr>
              <w:bidi w:val="0"/>
              <w:rPr>
                <w:rFonts w:hint="eastAsia" w:eastAsia="宋体"/>
                <w:sz w:val="24"/>
                <w:szCs w:val="24"/>
                <w:lang w:val="en-US" w:eastAsia="zh-CN"/>
              </w:rPr>
            </w:pPr>
            <w:r>
              <w:rPr>
                <w:rFonts w:hint="eastAsia"/>
                <w:sz w:val="24"/>
                <w:szCs w:val="24"/>
                <w:lang w:val="en-US" w:eastAsia="zh-CN"/>
              </w:rPr>
              <w:t>7月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58" w:hRule="atLeast"/>
        </w:trPr>
        <w:tc>
          <w:tcPr>
            <w:tcW w:w="2178" w:type="dxa"/>
            <w:tcBorders>
              <w:top w:val="single" w:color="000000" w:sz="4" w:space="0"/>
              <w:bottom w:val="single" w:color="000000" w:sz="4" w:space="0"/>
              <w:right w:val="single" w:color="000000" w:sz="4" w:space="0"/>
            </w:tcBorders>
            <w:vAlign w:val="center"/>
          </w:tcPr>
          <w:p>
            <w:pPr>
              <w:bidi w:val="0"/>
              <w:rPr>
                <w:rFonts w:hint="default"/>
                <w:sz w:val="24"/>
                <w:szCs w:val="24"/>
              </w:rPr>
            </w:pPr>
            <w:r>
              <w:rPr>
                <w:rFonts w:hint="default"/>
                <w:sz w:val="24"/>
                <w:szCs w:val="24"/>
              </w:rPr>
              <w:t>是否开工建设</w:t>
            </w:r>
          </w:p>
        </w:tc>
        <w:tc>
          <w:tcPr>
            <w:tcW w:w="1725" w:type="dxa"/>
            <w:tcBorders>
              <w:top w:val="single" w:color="000000" w:sz="4" w:space="0"/>
              <w:left w:val="single" w:color="000000" w:sz="4" w:space="0"/>
              <w:bottom w:val="single" w:color="000000" w:sz="4" w:space="0"/>
              <w:right w:val="single" w:color="000000" w:sz="4" w:space="0"/>
            </w:tcBorders>
            <w:vAlign w:val="center"/>
          </w:tcPr>
          <w:p>
            <w:pPr>
              <w:bidi w:val="0"/>
              <w:jc w:val="both"/>
              <w:rPr>
                <w:rFonts w:hint="default"/>
                <w:sz w:val="24"/>
                <w:szCs w:val="24"/>
              </w:rPr>
            </w:pPr>
            <w:r>
              <w:rPr>
                <w:rFonts w:hint="default"/>
                <w:sz w:val="24"/>
                <w:szCs w:val="24"/>
              </w:rPr>
              <w:sym w:font="Wingdings 2" w:char="0052"/>
            </w:r>
            <w:r>
              <w:rPr>
                <w:rFonts w:hint="default"/>
                <w:sz w:val="24"/>
                <w:szCs w:val="24"/>
              </w:rPr>
              <w:t>否</w:t>
            </w:r>
          </w:p>
          <w:p>
            <w:pPr>
              <w:bidi w:val="0"/>
              <w:jc w:val="both"/>
              <w:rPr>
                <w:rFonts w:hint="default"/>
                <w:sz w:val="24"/>
                <w:szCs w:val="24"/>
                <w:lang w:val="en-US" w:eastAsia="zh-CN"/>
              </w:rPr>
            </w:pPr>
            <w:r>
              <w:rPr>
                <w:rFonts w:hint="default"/>
                <w:sz w:val="24"/>
                <w:szCs w:val="24"/>
              </w:rPr>
              <w:sym w:font="Wingdings 2" w:char="00A3"/>
            </w:r>
            <w:r>
              <w:rPr>
                <w:rFonts w:hint="default"/>
                <w:sz w:val="24"/>
                <w:szCs w:val="24"/>
              </w:rPr>
              <w:t>是：</w:t>
            </w:r>
          </w:p>
        </w:tc>
        <w:tc>
          <w:tcPr>
            <w:tcW w:w="2010" w:type="dxa"/>
            <w:tcBorders>
              <w:top w:val="single" w:color="000000" w:sz="4" w:space="0"/>
              <w:left w:val="single" w:color="000000" w:sz="4" w:space="0"/>
              <w:bottom w:val="single" w:color="000000" w:sz="4" w:space="0"/>
              <w:right w:val="single" w:color="000000" w:sz="4" w:space="0"/>
            </w:tcBorders>
            <w:vAlign w:val="center"/>
          </w:tcPr>
          <w:p>
            <w:pPr>
              <w:bidi w:val="0"/>
              <w:rPr>
                <w:rFonts w:hint="default"/>
                <w:sz w:val="24"/>
                <w:szCs w:val="24"/>
              </w:rPr>
            </w:pPr>
            <w:r>
              <w:rPr>
                <w:rFonts w:hint="default"/>
                <w:sz w:val="24"/>
                <w:szCs w:val="24"/>
              </w:rPr>
              <w:t>用地面积（m</w:t>
            </w:r>
            <w:r>
              <w:rPr>
                <w:rFonts w:hint="default"/>
                <w:sz w:val="24"/>
                <w:szCs w:val="24"/>
                <w:vertAlign w:val="superscript"/>
              </w:rPr>
              <w:t>2</w:t>
            </w:r>
            <w:r>
              <w:rPr>
                <w:rFonts w:hint="default"/>
                <w:sz w:val="24"/>
                <w:szCs w:val="24"/>
              </w:rPr>
              <w:t>）</w:t>
            </w:r>
          </w:p>
        </w:tc>
        <w:tc>
          <w:tcPr>
            <w:tcW w:w="2955" w:type="dxa"/>
            <w:tcBorders>
              <w:top w:val="single" w:color="000000" w:sz="4" w:space="0"/>
              <w:left w:val="single" w:color="000000" w:sz="4" w:space="0"/>
              <w:bottom w:val="single" w:color="000000" w:sz="4" w:space="0"/>
            </w:tcBorders>
            <w:vAlign w:val="center"/>
          </w:tcPr>
          <w:p>
            <w:pPr>
              <w:bidi w:val="0"/>
              <w:rPr>
                <w:rFonts w:hint="default" w:eastAsia="宋体"/>
                <w:sz w:val="24"/>
                <w:szCs w:val="24"/>
                <w:lang w:val="en-US" w:eastAsia="zh-CN"/>
              </w:rPr>
            </w:pPr>
            <w:r>
              <w:rPr>
                <w:rFonts w:hint="eastAsia"/>
                <w:color w:val="auto"/>
                <w:sz w:val="24"/>
                <w:szCs w:val="24"/>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22" w:hRule="atLeast"/>
        </w:trPr>
        <w:tc>
          <w:tcPr>
            <w:tcW w:w="2178" w:type="dxa"/>
            <w:tcBorders>
              <w:top w:val="single" w:color="000000" w:sz="4" w:space="0"/>
              <w:bottom w:val="single" w:color="000000" w:sz="4" w:space="0"/>
              <w:right w:val="single" w:color="000000" w:sz="4" w:space="0"/>
            </w:tcBorders>
            <w:vAlign w:val="center"/>
          </w:tcPr>
          <w:p>
            <w:pPr>
              <w:bidi w:val="0"/>
              <w:rPr>
                <w:rFonts w:hint="default"/>
                <w:sz w:val="24"/>
                <w:szCs w:val="24"/>
              </w:rPr>
            </w:pPr>
            <w:r>
              <w:rPr>
                <w:rFonts w:hint="default"/>
                <w:sz w:val="24"/>
                <w:szCs w:val="24"/>
              </w:rPr>
              <w:t>专项评价设置情况</w:t>
            </w:r>
          </w:p>
        </w:tc>
        <w:tc>
          <w:tcPr>
            <w:tcW w:w="6690" w:type="dxa"/>
            <w:gridSpan w:val="3"/>
            <w:tcBorders>
              <w:top w:val="single" w:color="000000" w:sz="4" w:space="0"/>
              <w:left w:val="single" w:color="000000" w:sz="4" w:space="0"/>
              <w:bottom w:val="single" w:color="000000" w:sz="4" w:space="0"/>
            </w:tcBorders>
            <w:vAlign w:val="center"/>
          </w:tcPr>
          <w:p>
            <w:pPr>
              <w:bidi w:val="0"/>
              <w:jc w:val="center"/>
              <w:rPr>
                <w:rFonts w:hint="eastAsia" w:eastAsia="宋体"/>
                <w:sz w:val="24"/>
                <w:szCs w:val="24"/>
                <w:lang w:eastAsia="zh-CN"/>
              </w:rPr>
            </w:pPr>
            <w:r>
              <w:rPr>
                <w:rFonts w:hint="eastAsia"/>
                <w:sz w:val="24"/>
                <w:szCs w:val="24"/>
                <w:lang w:eastAsia="zh-CN"/>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19" w:hRule="atLeast"/>
        </w:trPr>
        <w:tc>
          <w:tcPr>
            <w:tcW w:w="2178" w:type="dxa"/>
            <w:tcBorders>
              <w:top w:val="single" w:color="000000" w:sz="4" w:space="0"/>
              <w:bottom w:val="single" w:color="000000" w:sz="4" w:space="0"/>
              <w:right w:val="single" w:color="000000" w:sz="4" w:space="0"/>
            </w:tcBorders>
            <w:vAlign w:val="center"/>
          </w:tcPr>
          <w:p>
            <w:pPr>
              <w:bidi w:val="0"/>
              <w:rPr>
                <w:rFonts w:hint="default"/>
                <w:sz w:val="24"/>
                <w:szCs w:val="24"/>
              </w:rPr>
            </w:pPr>
            <w:r>
              <w:rPr>
                <w:rFonts w:hint="default"/>
                <w:sz w:val="24"/>
                <w:szCs w:val="24"/>
              </w:rPr>
              <w:t>规划情况</w:t>
            </w:r>
          </w:p>
        </w:tc>
        <w:tc>
          <w:tcPr>
            <w:tcW w:w="6690" w:type="dxa"/>
            <w:gridSpan w:val="3"/>
            <w:tcBorders>
              <w:top w:val="single" w:color="000000" w:sz="4" w:space="0"/>
              <w:left w:val="single" w:color="000000" w:sz="4" w:space="0"/>
              <w:bottom w:val="single" w:color="000000" w:sz="4" w:space="0"/>
            </w:tcBorders>
            <w:vAlign w:val="center"/>
          </w:tcPr>
          <w:p>
            <w:pPr>
              <w:bidi w:val="0"/>
              <w:jc w:val="center"/>
              <w:rPr>
                <w:rFonts w:hint="eastAsia" w:eastAsia="宋体"/>
                <w:sz w:val="24"/>
                <w:szCs w:val="24"/>
                <w:lang w:eastAsia="zh-CN"/>
              </w:rPr>
            </w:pPr>
            <w:r>
              <w:rPr>
                <w:rFonts w:hint="eastAsia"/>
                <w:sz w:val="24"/>
                <w:szCs w:val="24"/>
                <w:lang w:eastAsia="zh-CN"/>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22" w:hRule="atLeast"/>
        </w:trPr>
        <w:tc>
          <w:tcPr>
            <w:tcW w:w="2178" w:type="dxa"/>
            <w:tcBorders>
              <w:top w:val="single" w:color="000000" w:sz="4" w:space="0"/>
              <w:bottom w:val="single" w:color="000000" w:sz="4" w:space="0"/>
              <w:right w:val="single" w:color="000000" w:sz="4" w:space="0"/>
            </w:tcBorders>
            <w:vAlign w:val="center"/>
          </w:tcPr>
          <w:p>
            <w:pPr>
              <w:bidi w:val="0"/>
              <w:rPr>
                <w:rFonts w:hint="default"/>
                <w:sz w:val="24"/>
                <w:szCs w:val="24"/>
              </w:rPr>
            </w:pPr>
            <w:r>
              <w:rPr>
                <w:rFonts w:hint="default"/>
                <w:sz w:val="24"/>
                <w:szCs w:val="24"/>
              </w:rPr>
              <w:t>规划环境影响评价情况</w:t>
            </w:r>
          </w:p>
        </w:tc>
        <w:tc>
          <w:tcPr>
            <w:tcW w:w="6690" w:type="dxa"/>
            <w:gridSpan w:val="3"/>
            <w:tcBorders>
              <w:top w:val="single" w:color="000000" w:sz="4" w:space="0"/>
              <w:left w:val="single" w:color="000000" w:sz="4" w:space="0"/>
              <w:bottom w:val="single" w:color="000000" w:sz="4" w:space="0"/>
            </w:tcBorders>
            <w:vAlign w:val="center"/>
          </w:tcPr>
          <w:p>
            <w:pPr>
              <w:bidi w:val="0"/>
              <w:jc w:val="center"/>
              <w:rPr>
                <w:rFonts w:hint="eastAsia" w:eastAsia="宋体"/>
                <w:sz w:val="24"/>
                <w:szCs w:val="24"/>
                <w:lang w:eastAsia="zh-CN"/>
              </w:rPr>
            </w:pPr>
            <w:r>
              <w:rPr>
                <w:rFonts w:hint="eastAsia"/>
                <w:sz w:val="24"/>
                <w:szCs w:val="24"/>
                <w:lang w:eastAsia="zh-CN"/>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21" w:hRule="atLeast"/>
        </w:trPr>
        <w:tc>
          <w:tcPr>
            <w:tcW w:w="2178" w:type="dxa"/>
            <w:tcBorders>
              <w:top w:val="single" w:color="000000" w:sz="4" w:space="0"/>
              <w:bottom w:val="single" w:color="000000" w:sz="4" w:space="0"/>
              <w:right w:val="single" w:color="000000" w:sz="4" w:space="0"/>
            </w:tcBorders>
            <w:vAlign w:val="center"/>
          </w:tcPr>
          <w:p>
            <w:pPr>
              <w:bidi w:val="0"/>
              <w:rPr>
                <w:rFonts w:hint="default"/>
                <w:sz w:val="24"/>
                <w:szCs w:val="24"/>
              </w:rPr>
            </w:pPr>
            <w:r>
              <w:rPr>
                <w:rFonts w:hint="default"/>
                <w:sz w:val="24"/>
                <w:szCs w:val="24"/>
              </w:rPr>
              <w:t>规划及规划环境影响评价符合性分析</w:t>
            </w:r>
          </w:p>
        </w:tc>
        <w:tc>
          <w:tcPr>
            <w:tcW w:w="6690" w:type="dxa"/>
            <w:gridSpan w:val="3"/>
            <w:tcBorders>
              <w:top w:val="single" w:color="000000" w:sz="4" w:space="0"/>
              <w:left w:val="single" w:color="000000" w:sz="4" w:space="0"/>
              <w:bottom w:val="single" w:color="000000" w:sz="4" w:space="0"/>
            </w:tcBorders>
            <w:vAlign w:val="center"/>
          </w:tcPr>
          <w:p>
            <w:pPr>
              <w:bidi w:val="0"/>
              <w:jc w:val="center"/>
              <w:rPr>
                <w:rFonts w:hint="default"/>
                <w:sz w:val="24"/>
                <w:szCs w:val="24"/>
              </w:rPr>
            </w:pPr>
            <w:r>
              <w:rPr>
                <w:rFonts w:hint="eastAsia"/>
                <w:sz w:val="24"/>
                <w:szCs w:val="24"/>
                <w:lang w:eastAsia="zh-CN"/>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21" w:hRule="atLeast"/>
        </w:trPr>
        <w:tc>
          <w:tcPr>
            <w:tcW w:w="2178" w:type="dxa"/>
            <w:tcBorders>
              <w:top w:val="single" w:color="000000" w:sz="4" w:space="0"/>
              <w:right w:val="single" w:color="000000" w:sz="4" w:space="0"/>
            </w:tcBorders>
            <w:vAlign w:val="center"/>
          </w:tcPr>
          <w:p>
            <w:pPr>
              <w:bidi w:val="0"/>
              <w:rPr>
                <w:rFonts w:hint="default"/>
                <w:sz w:val="24"/>
                <w:szCs w:val="24"/>
              </w:rPr>
            </w:pPr>
            <w:r>
              <w:rPr>
                <w:rFonts w:hint="default"/>
                <w:sz w:val="24"/>
                <w:szCs w:val="24"/>
              </w:rPr>
              <w:t>其他符合性分析</w:t>
            </w:r>
          </w:p>
        </w:tc>
        <w:tc>
          <w:tcPr>
            <w:tcW w:w="6690" w:type="dxa"/>
            <w:gridSpan w:val="3"/>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b/>
                <w:bCs/>
                <w:sz w:val="24"/>
                <w:szCs w:val="24"/>
                <w:lang w:eastAsia="zh-CN"/>
              </w:rPr>
            </w:pPr>
            <w:r>
              <w:rPr>
                <w:rFonts w:hint="eastAsia"/>
                <w:b/>
                <w:bCs/>
                <w:sz w:val="24"/>
                <w:szCs w:val="24"/>
                <w:lang w:val="en-US" w:eastAsia="zh-CN"/>
              </w:rPr>
              <w:t>1、</w:t>
            </w:r>
            <w:r>
              <w:rPr>
                <w:rFonts w:hint="default"/>
                <w:b/>
                <w:bCs/>
                <w:sz w:val="24"/>
                <w:szCs w:val="24"/>
              </w:rPr>
              <w:t>产业政策</w:t>
            </w:r>
            <w:r>
              <w:rPr>
                <w:rFonts w:hint="eastAsia"/>
                <w:b/>
                <w:bCs/>
                <w:sz w:val="24"/>
                <w:szCs w:val="24"/>
                <w:lang w:eastAsia="zh-CN"/>
              </w:rPr>
              <w:t>符合性分析：</w:t>
            </w:r>
          </w:p>
          <w:p>
            <w:pPr>
              <w:keepNext w:val="0"/>
              <w:keepLines w:val="0"/>
              <w:pageBreakBefore w:val="0"/>
              <w:widowControl w:val="0"/>
              <w:kinsoku/>
              <w:wordWrap/>
              <w:overflowPunct/>
              <w:topLinePunct w:val="0"/>
              <w:autoSpaceDE w:val="0"/>
              <w:autoSpaceDN w:val="0"/>
              <w:bidi w:val="0"/>
              <w:adjustRightInd/>
              <w:snapToGrid/>
              <w:ind w:firstLine="480" w:firstLineChars="200"/>
              <w:jc w:val="left"/>
              <w:textAlignment w:val="auto"/>
              <w:rPr>
                <w:rFonts w:hint="eastAsia"/>
                <w:color w:val="FF0000"/>
                <w:sz w:val="24"/>
                <w:szCs w:val="24"/>
                <w:lang w:val="en-US" w:eastAsia="zh-CN"/>
              </w:rPr>
            </w:pPr>
            <w:r>
              <w:rPr>
                <w:rFonts w:hint="eastAsia"/>
                <w:sz w:val="24"/>
                <w:szCs w:val="24"/>
                <w:lang w:val="en-US" w:eastAsia="zh-CN"/>
              </w:rPr>
              <w:t>本项目</w:t>
            </w:r>
            <w:r>
              <w:rPr>
                <w:rFonts w:hint="default"/>
                <w:sz w:val="24"/>
                <w:szCs w:val="24"/>
              </w:rPr>
              <w:t>为《国民经济行业分类》（GB/T4754-2017）中C302</w:t>
            </w:r>
            <w:r>
              <w:rPr>
                <w:rFonts w:hint="eastAsia"/>
                <w:sz w:val="24"/>
                <w:szCs w:val="24"/>
                <w:lang w:val="en-US" w:eastAsia="zh-CN"/>
              </w:rPr>
              <w:t>1</w:t>
            </w:r>
            <w:r>
              <w:rPr>
                <w:rFonts w:hint="default"/>
                <w:sz w:val="24"/>
                <w:szCs w:val="24"/>
              </w:rPr>
              <w:t xml:space="preserve"> 水泥制品制造，经查阅《产业结构调整指导目录（201</w:t>
            </w:r>
            <w:r>
              <w:rPr>
                <w:rFonts w:hint="eastAsia"/>
                <w:sz w:val="24"/>
                <w:szCs w:val="24"/>
                <w:lang w:val="en-US" w:eastAsia="zh-CN"/>
              </w:rPr>
              <w:t>9</w:t>
            </w:r>
            <w:r>
              <w:rPr>
                <w:rFonts w:hint="default"/>
                <w:sz w:val="24"/>
                <w:szCs w:val="24"/>
              </w:rPr>
              <w:t>年本）》，</w:t>
            </w:r>
            <w:r>
              <w:rPr>
                <w:rFonts w:hint="eastAsia"/>
                <w:sz w:val="24"/>
                <w:szCs w:val="24"/>
                <w:lang w:eastAsia="zh-CN"/>
              </w:rPr>
              <w:t>本项目</w:t>
            </w:r>
            <w:r>
              <w:rPr>
                <w:rFonts w:hint="default"/>
                <w:sz w:val="24"/>
                <w:szCs w:val="24"/>
              </w:rPr>
              <w:t>不</w:t>
            </w:r>
            <w:r>
              <w:rPr>
                <w:rFonts w:hint="eastAsia"/>
                <w:sz w:val="24"/>
                <w:szCs w:val="24"/>
                <w:lang w:eastAsia="zh-CN"/>
              </w:rPr>
              <w:t>属于其他</w:t>
            </w:r>
            <w:r>
              <w:rPr>
                <w:rFonts w:hint="default"/>
                <w:sz w:val="24"/>
                <w:szCs w:val="24"/>
              </w:rPr>
              <w:t>限制类、淘汰类项目，同时该项目不在《河北省新增限制和淘汰类产业目录（2015年版）》范围内。</w:t>
            </w:r>
            <w:r>
              <w:rPr>
                <w:rFonts w:hint="eastAsia"/>
                <w:color w:val="auto"/>
                <w:sz w:val="24"/>
                <w:szCs w:val="24"/>
                <w:lang w:val="en-US" w:eastAsia="zh-CN"/>
              </w:rPr>
              <w:t>2021年4月9日取得兴隆县行政审批局《关于兴隆县陡子峪乡环境综合治理项目可行性研究报告的批复》（</w:t>
            </w:r>
            <w:r>
              <w:rPr>
                <w:rFonts w:hint="eastAsia"/>
                <w:color w:val="auto"/>
                <w:sz w:val="24"/>
                <w:szCs w:val="24"/>
                <w:lang w:eastAsia="zh-CN"/>
              </w:rPr>
              <w:t>详</w:t>
            </w:r>
            <w:r>
              <w:rPr>
                <w:rFonts w:hint="eastAsia"/>
                <w:color w:val="auto"/>
                <w:sz w:val="24"/>
                <w:szCs w:val="24"/>
              </w:rPr>
              <w:t>见附件</w:t>
            </w:r>
            <w:r>
              <w:rPr>
                <w:rFonts w:hint="eastAsia"/>
                <w:color w:val="auto"/>
                <w:sz w:val="24"/>
                <w:szCs w:val="24"/>
                <w:lang w:val="en-US" w:eastAsia="zh-CN"/>
              </w:rPr>
              <w:t>）；2021年4月9日取得兴隆县行政审批局《关于兴隆县陡子峪乡环境综合治理项目可行性研究报告的批复》（兴审批投字【2021】45号）（</w:t>
            </w:r>
            <w:r>
              <w:rPr>
                <w:rFonts w:hint="eastAsia"/>
                <w:color w:val="auto"/>
                <w:sz w:val="24"/>
                <w:szCs w:val="24"/>
                <w:lang w:eastAsia="zh-CN"/>
              </w:rPr>
              <w:t>详</w:t>
            </w:r>
            <w:r>
              <w:rPr>
                <w:rFonts w:hint="eastAsia"/>
                <w:color w:val="auto"/>
                <w:sz w:val="24"/>
                <w:szCs w:val="24"/>
              </w:rPr>
              <w:t>见附件</w:t>
            </w:r>
            <w:r>
              <w:rPr>
                <w:rFonts w:hint="eastAsia"/>
                <w:color w:val="auto"/>
                <w:sz w:val="24"/>
                <w:szCs w:val="24"/>
                <w:lang w:val="en-US" w:eastAsia="zh-CN"/>
              </w:rPr>
              <w:t>）；2021年4月25日取得兴隆县行政审批局《关于兴隆县陡子峪乡环境综合治理项目初步设计的批复》（兴审批投字【2021】51号）（</w:t>
            </w:r>
            <w:r>
              <w:rPr>
                <w:rFonts w:hint="eastAsia"/>
                <w:color w:val="auto"/>
                <w:sz w:val="24"/>
                <w:szCs w:val="24"/>
                <w:lang w:eastAsia="zh-CN"/>
              </w:rPr>
              <w:t>详</w:t>
            </w:r>
            <w:r>
              <w:rPr>
                <w:rFonts w:hint="eastAsia"/>
                <w:color w:val="auto"/>
                <w:sz w:val="24"/>
                <w:szCs w:val="24"/>
              </w:rPr>
              <w:t>见附件</w:t>
            </w:r>
            <w:r>
              <w:rPr>
                <w:rFonts w:hint="eastAsia"/>
                <w:color w:val="auto"/>
                <w:sz w:val="24"/>
                <w:szCs w:val="24"/>
                <w:lang w:val="en-US" w:eastAsia="zh-CN"/>
              </w:rPr>
              <w:t>）。</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b/>
                <w:bCs/>
                <w:sz w:val="24"/>
                <w:szCs w:val="24"/>
                <w:lang w:eastAsia="zh-CN"/>
              </w:rPr>
            </w:pPr>
            <w:r>
              <w:rPr>
                <w:rFonts w:hint="eastAsia"/>
                <w:b/>
                <w:bCs/>
                <w:sz w:val="24"/>
                <w:szCs w:val="24"/>
                <w:lang w:val="en-US" w:eastAsia="zh-CN"/>
              </w:rPr>
              <w:t>2、</w:t>
            </w:r>
            <w:r>
              <w:rPr>
                <w:rFonts w:hint="default"/>
                <w:b/>
                <w:bCs/>
                <w:sz w:val="24"/>
                <w:szCs w:val="24"/>
                <w:lang w:eastAsia="zh-CN"/>
              </w:rPr>
              <w:t>选址</w:t>
            </w:r>
            <w:r>
              <w:rPr>
                <w:rFonts w:hint="eastAsia"/>
                <w:b/>
                <w:bCs/>
                <w:sz w:val="24"/>
                <w:szCs w:val="24"/>
                <w:lang w:eastAsia="zh-CN"/>
              </w:rPr>
              <w:t>及规划</w:t>
            </w:r>
            <w:r>
              <w:rPr>
                <w:rFonts w:hint="default"/>
                <w:b/>
                <w:bCs/>
                <w:sz w:val="24"/>
                <w:szCs w:val="24"/>
                <w:lang w:eastAsia="zh-CN"/>
              </w:rPr>
              <w:t>合理</w:t>
            </w:r>
            <w:r>
              <w:rPr>
                <w:rFonts w:hint="default"/>
                <w:b/>
                <w:bCs/>
                <w:sz w:val="24"/>
                <w:szCs w:val="24"/>
              </w:rPr>
              <w:t>性分析</w:t>
            </w:r>
            <w:r>
              <w:rPr>
                <w:rFonts w:hint="eastAsia"/>
                <w:b/>
                <w:bCs/>
                <w:sz w:val="24"/>
                <w:szCs w:val="24"/>
                <w:lang w:eastAsia="zh-CN"/>
              </w:rPr>
              <w:t>：</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eastAsia"/>
                <w:color w:val="auto"/>
                <w:sz w:val="24"/>
                <w:szCs w:val="24"/>
                <w:lang w:val="en-US" w:eastAsia="zh-CN"/>
              </w:rPr>
            </w:pPr>
            <w:r>
              <w:rPr>
                <w:rFonts w:hAnsi="宋体"/>
                <w:sz w:val="24"/>
                <w:szCs w:val="24"/>
              </w:rPr>
              <w:t>本项目所有建设内容不涉及新增建设用地，不改变土地用途，不涉及供地问题。本项目生态护坡、污染阻隔墙、污染阻隔网、生态缓冲带建设均在河道管理范围内，不涉及新增建设用地；本项目污水处理站和污水管网</w:t>
            </w:r>
            <w:r>
              <w:rPr>
                <w:rFonts w:hint="eastAsia" w:hAnsi="宋体"/>
                <w:sz w:val="24"/>
                <w:szCs w:val="24"/>
              </w:rPr>
              <w:t>、污水收集池</w:t>
            </w:r>
            <w:r>
              <w:rPr>
                <w:rFonts w:hAnsi="宋体"/>
                <w:sz w:val="24"/>
                <w:szCs w:val="24"/>
              </w:rPr>
              <w:t>均为地下工程位于沥水沟村，不涉及新增建设用地，不改变土地用途，不涉及供地问题</w:t>
            </w:r>
            <w:r>
              <w:rPr>
                <w:rFonts w:hint="eastAsia"/>
                <w:color w:val="auto"/>
                <w:sz w:val="24"/>
                <w:szCs w:val="24"/>
                <w:lang w:eastAsia="zh-CN"/>
              </w:rPr>
              <w:t>。</w:t>
            </w:r>
            <w:r>
              <w:rPr>
                <w:rFonts w:hint="eastAsia"/>
                <w:color w:val="auto"/>
                <w:sz w:val="24"/>
                <w:szCs w:val="24"/>
              </w:rPr>
              <w:t>项目</w:t>
            </w:r>
            <w:r>
              <w:rPr>
                <w:rFonts w:hint="eastAsia"/>
                <w:color w:val="auto"/>
                <w:sz w:val="24"/>
                <w:szCs w:val="24"/>
                <w:lang w:eastAsia="zh-CN"/>
              </w:rPr>
              <w:t>于</w:t>
            </w:r>
            <w:r>
              <w:rPr>
                <w:rFonts w:hint="eastAsia"/>
                <w:color w:val="auto"/>
                <w:sz w:val="24"/>
                <w:szCs w:val="24"/>
                <w:lang w:val="en-US" w:eastAsia="zh-CN"/>
              </w:rPr>
              <w:t>2021年3月11日</w:t>
            </w:r>
            <w:r>
              <w:rPr>
                <w:rFonts w:hint="eastAsia"/>
                <w:color w:val="auto"/>
                <w:sz w:val="24"/>
                <w:szCs w:val="24"/>
              </w:rPr>
              <w:t>取得</w:t>
            </w:r>
            <w:r>
              <w:rPr>
                <w:rFonts w:hint="eastAsia"/>
                <w:color w:val="auto"/>
                <w:sz w:val="24"/>
                <w:szCs w:val="24"/>
                <w:lang w:eastAsia="zh-CN"/>
              </w:rPr>
              <w:t>兴隆县陡子峪乡人民政府</w:t>
            </w:r>
            <w:r>
              <w:rPr>
                <w:rFonts w:hint="eastAsia"/>
                <w:color w:val="auto"/>
                <w:sz w:val="24"/>
                <w:szCs w:val="24"/>
                <w:lang w:val="en-US" w:eastAsia="zh-CN"/>
              </w:rPr>
              <w:t>关于兴隆县陡子峪乡环境综合治理项目意见</w:t>
            </w:r>
            <w:r>
              <w:rPr>
                <w:rFonts w:hint="eastAsia"/>
                <w:color w:val="auto"/>
                <w:sz w:val="24"/>
                <w:szCs w:val="24"/>
              </w:rPr>
              <w:t>。</w:t>
            </w:r>
            <w:r>
              <w:rPr>
                <w:rFonts w:hint="eastAsia"/>
                <w:color w:val="auto"/>
                <w:sz w:val="24"/>
                <w:szCs w:val="24"/>
                <w:lang w:val="en-US" w:eastAsia="zh-CN"/>
              </w:rPr>
              <w:t>评价范围内无自然保护区和其他特别需要保护的敏感目标，无明显的环境制约因素，</w:t>
            </w:r>
            <w:r>
              <w:rPr>
                <w:rFonts w:hint="eastAsia"/>
                <w:color w:val="auto"/>
                <w:sz w:val="24"/>
                <w:szCs w:val="24"/>
                <w:lang w:eastAsia="zh-CN"/>
              </w:rPr>
              <w:t>同时本项目用地不在</w:t>
            </w:r>
            <w:r>
              <w:rPr>
                <w:rFonts w:hint="eastAsia"/>
                <w:color w:val="auto"/>
                <w:sz w:val="24"/>
                <w:szCs w:val="24"/>
                <w:lang w:val="en-US" w:eastAsia="zh-CN"/>
              </w:rPr>
              <w:t>生态保护红线范围内，符合生态保护红线要求。因此，项目选址及规划合理。</w:t>
            </w:r>
          </w:p>
          <w:p>
            <w:pPr>
              <w:numPr>
                <w:ilvl w:val="0"/>
                <w:numId w:val="3"/>
              </w:numPr>
              <w:bidi w:val="0"/>
              <w:jc w:val="left"/>
              <w:rPr>
                <w:rFonts w:hint="default"/>
                <w:sz w:val="24"/>
                <w:szCs w:val="24"/>
              </w:rPr>
            </w:pPr>
            <w:r>
              <w:rPr>
                <w:rFonts w:hint="default"/>
                <w:b/>
                <w:bCs/>
                <w:sz w:val="24"/>
                <w:szCs w:val="24"/>
              </w:rPr>
              <w:t>三线一单符合性分析：</w:t>
            </w:r>
          </w:p>
          <w:p>
            <w:pPr>
              <w:jc w:val="left"/>
              <w:rPr>
                <w:rFonts w:hint="eastAsia"/>
                <w:sz w:val="24"/>
                <w:szCs w:val="24"/>
                <w:lang w:val="en-US" w:eastAsia="zh-CN"/>
              </w:rPr>
            </w:pPr>
            <w:r>
              <w:rPr>
                <w:rFonts w:hint="eastAsia"/>
                <w:sz w:val="24"/>
                <w:szCs w:val="24"/>
                <w:lang w:val="en-US" w:eastAsia="zh-CN"/>
              </w:rPr>
              <w:t xml:space="preserve">    根据《关于以改善环境质量为核心加强环境影响评价管理的通知》（环境保护部文件：环评[2016]150号），对“三线一单”的要求，进行项目“三线一单”符合性分析，判定内容简述如下：</w:t>
            </w:r>
          </w:p>
          <w:p>
            <w:pPr>
              <w:numPr>
                <w:ilvl w:val="0"/>
                <w:numId w:val="4"/>
              </w:numPr>
              <w:bidi w:val="0"/>
              <w:ind w:right="0" w:rightChars="0" w:firstLine="480" w:firstLineChars="200"/>
              <w:jc w:val="left"/>
              <w:rPr>
                <w:rFonts w:hint="default"/>
                <w:sz w:val="24"/>
                <w:szCs w:val="24"/>
              </w:rPr>
            </w:pPr>
            <w:r>
              <w:rPr>
                <w:rFonts w:hint="default"/>
                <w:sz w:val="24"/>
                <w:szCs w:val="24"/>
              </w:rPr>
              <w:t>生态保护红线</w:t>
            </w:r>
          </w:p>
          <w:p>
            <w:pPr>
              <w:numPr>
                <w:ilvl w:val="0"/>
                <w:numId w:val="0"/>
              </w:numPr>
              <w:bidi w:val="0"/>
              <w:ind w:right="0" w:rightChars="0" w:firstLine="480" w:firstLineChars="200"/>
              <w:jc w:val="left"/>
              <w:rPr>
                <w:rFonts w:hint="default"/>
                <w:sz w:val="24"/>
                <w:szCs w:val="24"/>
              </w:rPr>
            </w:pPr>
            <w:r>
              <w:rPr>
                <w:rFonts w:hint="default"/>
                <w:sz w:val="24"/>
                <w:szCs w:val="24"/>
              </w:rPr>
              <w:t>生态保护红线是生态空间范围内具有特殊重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w:t>
            </w:r>
            <w:r>
              <w:rPr>
                <w:rFonts w:hint="eastAsia"/>
                <w:sz w:val="24"/>
                <w:szCs w:val="24"/>
                <w:lang w:eastAsia="zh-CN"/>
              </w:rPr>
              <w:t>基</w:t>
            </w:r>
            <w:r>
              <w:rPr>
                <w:rFonts w:hint="default"/>
                <w:sz w:val="24"/>
                <w:szCs w:val="24"/>
              </w:rPr>
              <w:t>础设施项目外，在生态保护红线范围内，严控各类开发建设活动，依法不予审批技改工业项目和矿产开发项目的环评文件。</w:t>
            </w:r>
          </w:p>
          <w:p>
            <w:pPr>
              <w:numPr>
                <w:ilvl w:val="0"/>
                <w:numId w:val="0"/>
              </w:numPr>
              <w:bidi w:val="0"/>
              <w:ind w:right="0" w:rightChars="0" w:firstLine="482" w:firstLineChars="200"/>
              <w:jc w:val="left"/>
              <w:rPr>
                <w:rFonts w:hint="eastAsia"/>
                <w:sz w:val="24"/>
                <w:szCs w:val="24"/>
                <w:lang w:val="en-US" w:eastAsia="zh-CN"/>
              </w:rPr>
            </w:pPr>
            <w:r>
              <w:rPr>
                <w:rFonts w:hint="eastAsia"/>
                <w:b/>
                <w:bCs/>
                <w:sz w:val="24"/>
                <w:szCs w:val="24"/>
                <w:lang w:val="en-US" w:eastAsia="zh-CN"/>
              </w:rPr>
              <w:t>本项目位于</w:t>
            </w:r>
            <w:r>
              <w:rPr>
                <w:rFonts w:hint="eastAsia"/>
                <w:b/>
                <w:bCs/>
                <w:color w:val="auto"/>
                <w:sz w:val="24"/>
                <w:szCs w:val="24"/>
                <w:lang w:val="en-US" w:eastAsia="zh-CN"/>
              </w:rPr>
              <w:t>河北省承德市</w:t>
            </w:r>
            <w:r>
              <w:rPr>
                <w:rFonts w:hint="default" w:ascii="Times New Roman" w:hAnsi="Times New Roman" w:cs="Times New Roman"/>
                <w:b/>
                <w:bCs/>
                <w:color w:val="auto"/>
                <w:highlight w:val="none"/>
                <w:lang w:val="en-US" w:eastAsia="zh-CN"/>
              </w:rPr>
              <w:t>兴隆县陡子峪乡</w:t>
            </w:r>
            <w:r>
              <w:rPr>
                <w:rFonts w:hint="default" w:ascii="Times New Roman" w:hAnsi="Times New Roman" w:cs="Times New Roman"/>
                <w:b/>
                <w:bCs/>
                <w:color w:val="auto"/>
                <w:highlight w:val="none"/>
                <w:lang w:eastAsia="zh-CN"/>
              </w:rPr>
              <w:t>东陡子峪村、西陡子峪村、沥水沟村、思家岭</w:t>
            </w:r>
            <w:r>
              <w:rPr>
                <w:rFonts w:hint="default" w:ascii="Times New Roman" w:hAnsi="Times New Roman" w:cs="Times New Roman"/>
                <w:b/>
                <w:bCs/>
                <w:color w:val="auto"/>
                <w:highlight w:val="none"/>
                <w:lang w:val="en-US" w:eastAsia="zh-CN"/>
              </w:rPr>
              <w:t>村</w:t>
            </w:r>
            <w:r>
              <w:rPr>
                <w:rFonts w:hint="eastAsia"/>
                <w:b/>
                <w:bCs/>
                <w:color w:val="auto"/>
                <w:sz w:val="24"/>
                <w:szCs w:val="24"/>
                <w:lang w:val="en-US" w:eastAsia="zh-CN"/>
              </w:rPr>
              <w:t>，</w:t>
            </w:r>
            <w:r>
              <w:rPr>
                <w:rFonts w:hint="eastAsia"/>
                <w:b/>
                <w:bCs/>
                <w:sz w:val="24"/>
                <w:szCs w:val="24"/>
                <w:lang w:val="en-US" w:eastAsia="zh-CN"/>
              </w:rPr>
              <w:t>评价范围内无自然保护区和其他特别需要保护的敏感目标，本项目不在生态保护红线范围内，符合生态保护红线要求。本项目与生态保护红线关系图见附</w:t>
            </w:r>
            <w:r>
              <w:rPr>
                <w:rFonts w:hint="eastAsia"/>
                <w:b/>
                <w:bCs/>
                <w:sz w:val="24"/>
                <w:szCs w:val="24"/>
                <w:lang w:eastAsia="zh-CN"/>
              </w:rPr>
              <w:t>图</w:t>
            </w:r>
            <w:r>
              <w:rPr>
                <w:rFonts w:hint="eastAsia"/>
                <w:b/>
                <w:bCs/>
                <w:sz w:val="24"/>
                <w:szCs w:val="24"/>
                <w:lang w:val="en-US" w:eastAsia="zh-CN"/>
              </w:rPr>
              <w:t>。</w:t>
            </w:r>
          </w:p>
          <w:p>
            <w:pPr>
              <w:numPr>
                <w:ilvl w:val="0"/>
                <w:numId w:val="5"/>
              </w:numPr>
              <w:bidi w:val="0"/>
              <w:ind w:leftChars="0" w:right="0" w:rightChars="0" w:firstLine="480" w:firstLineChars="200"/>
              <w:jc w:val="left"/>
              <w:rPr>
                <w:rFonts w:hint="eastAsia"/>
                <w:sz w:val="24"/>
                <w:szCs w:val="24"/>
                <w:lang w:eastAsia="zh-CN"/>
              </w:rPr>
            </w:pPr>
            <w:r>
              <w:rPr>
                <w:rFonts w:hint="default"/>
                <w:sz w:val="24"/>
                <w:szCs w:val="24"/>
              </w:rPr>
              <w:t>环境质量底线</w:t>
            </w:r>
          </w:p>
          <w:p>
            <w:pPr>
              <w:numPr>
                <w:ilvl w:val="0"/>
                <w:numId w:val="0"/>
              </w:numPr>
              <w:bidi w:val="0"/>
              <w:ind w:right="0" w:rightChars="0" w:firstLine="480" w:firstLineChars="200"/>
              <w:jc w:val="left"/>
              <w:rPr>
                <w:rFonts w:hint="eastAsia"/>
                <w:sz w:val="24"/>
                <w:szCs w:val="24"/>
                <w:lang w:eastAsia="zh-CN"/>
              </w:rPr>
            </w:pPr>
            <w:r>
              <w:rPr>
                <w:rFonts w:hint="default"/>
                <w:sz w:val="24"/>
                <w:szCs w:val="24"/>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r>
              <w:rPr>
                <w:rFonts w:hint="eastAsia"/>
                <w:sz w:val="24"/>
                <w:szCs w:val="24"/>
                <w:lang w:eastAsia="zh-CN"/>
              </w:rPr>
              <w:t>。</w:t>
            </w:r>
          </w:p>
          <w:p>
            <w:pPr>
              <w:numPr>
                <w:ilvl w:val="0"/>
                <w:numId w:val="0"/>
              </w:numPr>
              <w:bidi w:val="0"/>
              <w:ind w:right="0" w:rightChars="0" w:firstLine="482" w:firstLineChars="200"/>
              <w:jc w:val="both"/>
              <w:rPr>
                <w:rFonts w:hint="default"/>
                <w:b/>
                <w:bCs/>
                <w:color w:val="auto"/>
                <w:sz w:val="24"/>
                <w:szCs w:val="24"/>
              </w:rPr>
            </w:pPr>
            <w:r>
              <w:rPr>
                <w:rFonts w:hint="eastAsia"/>
                <w:b/>
                <w:bCs/>
                <w:color w:val="auto"/>
                <w:sz w:val="24"/>
                <w:szCs w:val="24"/>
                <w:lang w:eastAsia="zh-CN"/>
              </w:rPr>
              <w:t>根据</w:t>
            </w:r>
            <w:r>
              <w:rPr>
                <w:rFonts w:hint="default"/>
                <w:b/>
                <w:bCs/>
                <w:color w:val="auto"/>
                <w:sz w:val="24"/>
                <w:szCs w:val="24"/>
              </w:rPr>
              <w:t>《20</w:t>
            </w:r>
            <w:r>
              <w:rPr>
                <w:rFonts w:hint="eastAsia"/>
                <w:b/>
                <w:bCs/>
                <w:color w:val="auto"/>
                <w:sz w:val="24"/>
                <w:szCs w:val="24"/>
                <w:lang w:val="en-US" w:eastAsia="zh-CN"/>
              </w:rPr>
              <w:t>20</w:t>
            </w:r>
            <w:r>
              <w:rPr>
                <w:rFonts w:hint="default"/>
                <w:b/>
                <w:bCs/>
                <w:color w:val="auto"/>
                <w:sz w:val="24"/>
                <w:szCs w:val="24"/>
              </w:rPr>
              <w:t>年承德市环境状况公报》</w:t>
            </w:r>
            <w:r>
              <w:rPr>
                <w:rFonts w:hint="eastAsia"/>
                <w:b/>
                <w:bCs/>
                <w:color w:val="auto"/>
                <w:sz w:val="24"/>
                <w:szCs w:val="24"/>
                <w:lang w:eastAsia="zh-CN"/>
              </w:rPr>
              <w:t>兴隆县环境空气</w:t>
            </w:r>
            <w:r>
              <w:rPr>
                <w:rFonts w:hint="default"/>
                <w:b/>
                <w:bCs/>
                <w:color w:val="auto"/>
                <w:sz w:val="24"/>
                <w:szCs w:val="24"/>
              </w:rPr>
              <w:t>常规数据</w:t>
            </w:r>
            <w:r>
              <w:rPr>
                <w:rFonts w:hint="eastAsia"/>
                <w:b/>
                <w:bCs/>
                <w:color w:val="auto"/>
                <w:sz w:val="24"/>
                <w:szCs w:val="24"/>
                <w:lang w:eastAsia="zh-CN"/>
              </w:rPr>
              <w:t>可知，项目区属于不达标区，因此，承德市印发实施《承德市</w:t>
            </w:r>
            <w:r>
              <w:rPr>
                <w:rFonts w:hint="eastAsia"/>
                <w:b/>
                <w:bCs/>
                <w:color w:val="auto"/>
                <w:sz w:val="24"/>
                <w:szCs w:val="24"/>
                <w:lang w:val="en-US" w:eastAsia="zh-CN"/>
              </w:rPr>
              <w:t>2019年大气污染综合治理工作方案</w:t>
            </w:r>
            <w:r>
              <w:rPr>
                <w:rFonts w:hint="eastAsia"/>
                <w:b/>
                <w:bCs/>
                <w:color w:val="auto"/>
                <w:sz w:val="24"/>
                <w:szCs w:val="24"/>
                <w:lang w:eastAsia="zh-CN"/>
              </w:rPr>
              <w:t>》，来改善区域环境质量。</w:t>
            </w:r>
            <w:r>
              <w:rPr>
                <w:rFonts w:hint="default"/>
                <w:b/>
                <w:bCs/>
                <w:color w:val="auto"/>
                <w:sz w:val="24"/>
                <w:szCs w:val="24"/>
              </w:rPr>
              <w:t>本项目</w:t>
            </w:r>
            <w:r>
              <w:rPr>
                <w:rFonts w:hint="eastAsia"/>
                <w:b/>
                <w:bCs/>
                <w:color w:val="auto"/>
                <w:sz w:val="24"/>
                <w:szCs w:val="24"/>
                <w:lang w:eastAsia="zh-CN"/>
              </w:rPr>
              <w:t>为新建项目，</w:t>
            </w:r>
            <w:r>
              <w:rPr>
                <w:rFonts w:hint="default"/>
                <w:b/>
                <w:bCs/>
                <w:color w:val="auto"/>
                <w:sz w:val="24"/>
                <w:szCs w:val="24"/>
              </w:rPr>
              <w:t>产生的污染物采取相应措施后，经预测满足环境质量标准，符合环境质量底线的要求。</w:t>
            </w:r>
          </w:p>
          <w:p>
            <w:pPr>
              <w:numPr>
                <w:ilvl w:val="0"/>
                <w:numId w:val="5"/>
              </w:numPr>
              <w:bidi w:val="0"/>
              <w:ind w:left="0" w:leftChars="0" w:right="0" w:rightChars="0" w:firstLine="480" w:firstLineChars="200"/>
              <w:jc w:val="left"/>
              <w:rPr>
                <w:rFonts w:hint="eastAsia"/>
                <w:sz w:val="24"/>
                <w:szCs w:val="24"/>
                <w:lang w:eastAsia="zh-CN"/>
              </w:rPr>
            </w:pPr>
            <w:r>
              <w:rPr>
                <w:rFonts w:hint="default"/>
                <w:sz w:val="24"/>
                <w:szCs w:val="24"/>
              </w:rPr>
              <w:t>资源利用上线</w:t>
            </w:r>
          </w:p>
          <w:p>
            <w:pPr>
              <w:numPr>
                <w:ilvl w:val="0"/>
                <w:numId w:val="0"/>
              </w:numPr>
              <w:bidi w:val="0"/>
              <w:ind w:right="0" w:rightChars="0" w:firstLine="480" w:firstLineChars="200"/>
              <w:jc w:val="left"/>
              <w:rPr>
                <w:rFonts w:hint="eastAsia"/>
                <w:sz w:val="24"/>
                <w:szCs w:val="24"/>
                <w:lang w:eastAsia="zh-CN"/>
              </w:rPr>
            </w:pPr>
            <w:r>
              <w:rPr>
                <w:rFonts w:hint="default"/>
                <w:sz w:val="24"/>
                <w:szCs w:val="24"/>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防护措施等方面提出建议，为规划编制和审批决策提供重要依据。项目不属于资源开发类项目，以</w:t>
            </w:r>
            <w:r>
              <w:rPr>
                <w:rFonts w:hint="eastAsia"/>
                <w:sz w:val="24"/>
                <w:szCs w:val="24"/>
                <w:lang w:eastAsia="zh-CN"/>
              </w:rPr>
              <w:t>外购的砂石料、水泥等为原料；用电接入当地电网；用水循环利用，不外排，合理利用资源。</w:t>
            </w:r>
          </w:p>
          <w:p>
            <w:pPr>
              <w:numPr>
                <w:ilvl w:val="0"/>
                <w:numId w:val="0"/>
              </w:numPr>
              <w:bidi w:val="0"/>
              <w:ind w:right="0" w:rightChars="0"/>
              <w:jc w:val="left"/>
              <w:rPr>
                <w:rFonts w:hint="default"/>
                <w:sz w:val="24"/>
                <w:szCs w:val="24"/>
              </w:rPr>
            </w:pPr>
            <w:r>
              <w:rPr>
                <w:rFonts w:hint="eastAsia"/>
                <w:sz w:val="24"/>
                <w:szCs w:val="24"/>
                <w:lang w:val="en-US" w:eastAsia="zh-CN"/>
              </w:rPr>
              <w:t xml:space="preserve">   （4）</w:t>
            </w:r>
            <w:r>
              <w:rPr>
                <w:rFonts w:hint="default"/>
                <w:sz w:val="24"/>
                <w:szCs w:val="24"/>
              </w:rPr>
              <w:t>负面清单</w:t>
            </w:r>
            <w:r>
              <w:rPr>
                <w:rFonts w:hint="eastAsia"/>
                <w:sz w:val="24"/>
                <w:szCs w:val="24"/>
                <w:lang w:eastAsia="zh-CN"/>
              </w:rPr>
              <w:t>：</w:t>
            </w:r>
            <w:r>
              <w:rPr>
                <w:rFonts w:hint="default"/>
                <w:sz w:val="24"/>
                <w:szCs w:val="24"/>
              </w:rPr>
              <w:t>环境准入负面清单是基于生态保护红线、环境质量底线和资源利用上线，以清单方式列出的禁止、限制等差别化环境准入条件和要求。</w:t>
            </w:r>
          </w:p>
          <w:p>
            <w:pPr>
              <w:numPr>
                <w:ilvl w:val="0"/>
                <w:numId w:val="0"/>
              </w:numPr>
              <w:bidi w:val="0"/>
              <w:ind w:right="0" w:rightChars="0" w:firstLine="482" w:firstLineChars="200"/>
              <w:jc w:val="left"/>
              <w:rPr>
                <w:rFonts w:hint="default"/>
                <w:b/>
                <w:bCs/>
                <w:sz w:val="24"/>
                <w:szCs w:val="24"/>
              </w:rPr>
            </w:pPr>
            <w:r>
              <w:rPr>
                <w:rFonts w:hint="default"/>
                <w:b/>
                <w:bCs/>
                <w:sz w:val="24"/>
                <w:szCs w:val="24"/>
              </w:rPr>
              <w:t>本地区尚未规定环境准入负面清单，本项目不属于禁止发展的产业类型。本项目</w:t>
            </w:r>
            <w:r>
              <w:rPr>
                <w:rFonts w:hint="eastAsia"/>
                <w:b/>
                <w:bCs/>
                <w:sz w:val="24"/>
                <w:szCs w:val="24"/>
                <w:lang w:val="en-US" w:eastAsia="zh-CN"/>
              </w:rPr>
              <w:t>不在国家《市场准入负面清单》（2020版）范围之内，</w:t>
            </w:r>
            <w:r>
              <w:rPr>
                <w:rFonts w:hint="default"/>
                <w:b/>
                <w:bCs/>
                <w:sz w:val="24"/>
                <w:szCs w:val="24"/>
              </w:rPr>
              <w:t>不属于禁止发展的产业类型。对照河北省发展和改革委员会关于印发《灵寿县等22县（区）国家重点生态功能区产业准入负面清单（试行）》的通知（冀发改规[2018]920号），项目未列入该负面清单。</w:t>
            </w:r>
          </w:p>
          <w:p>
            <w:pPr>
              <w:bidi w:val="0"/>
              <w:ind w:firstLine="480" w:firstLineChars="200"/>
              <w:jc w:val="left"/>
              <w:rPr>
                <w:rFonts w:hint="eastAsia"/>
                <w:sz w:val="24"/>
                <w:szCs w:val="24"/>
                <w:lang w:val="en-US" w:eastAsia="zh-CN"/>
              </w:rPr>
            </w:pPr>
            <w:r>
              <w:rPr>
                <w:rFonts w:hint="eastAsia"/>
                <w:sz w:val="24"/>
                <w:szCs w:val="24"/>
                <w:lang w:val="en-US" w:eastAsia="zh-CN"/>
              </w:rPr>
              <w:t>（5）“三线一单”符合性判定结论</w:t>
            </w:r>
          </w:p>
          <w:p>
            <w:pPr>
              <w:bidi w:val="0"/>
              <w:ind w:firstLine="480" w:firstLineChars="200"/>
              <w:jc w:val="left"/>
              <w:rPr>
                <w:rFonts w:hint="eastAsia"/>
                <w:sz w:val="24"/>
                <w:szCs w:val="24"/>
                <w:lang w:val="en-US" w:eastAsia="zh-CN"/>
              </w:rPr>
            </w:pPr>
            <w:r>
              <w:rPr>
                <w:rFonts w:hint="eastAsia"/>
                <w:sz w:val="24"/>
                <w:szCs w:val="24"/>
                <w:lang w:val="en-US" w:eastAsia="zh-CN"/>
              </w:rPr>
              <w:t>综上，项目符合《关于以改善环境质量为核心加强环境影响评价管理的通知》（环评[2016]150号）中关于“三线一单”的环境管理要求。</w:t>
            </w:r>
          </w:p>
          <w:p>
            <w:pPr>
              <w:numPr>
                <w:ilvl w:val="0"/>
                <w:numId w:val="0"/>
              </w:numPr>
              <w:bidi w:val="0"/>
              <w:ind w:right="0" w:rightChars="0" w:firstLine="482" w:firstLineChars="200"/>
              <w:jc w:val="left"/>
              <w:rPr>
                <w:rFonts w:hint="eastAsia"/>
                <w:b/>
                <w:bCs/>
                <w:sz w:val="24"/>
                <w:szCs w:val="24"/>
                <w:lang w:val="en-US" w:eastAsia="zh-CN"/>
              </w:rPr>
            </w:pPr>
          </w:p>
          <w:p>
            <w:pPr>
              <w:pStyle w:val="7"/>
              <w:rPr>
                <w:rFonts w:hint="eastAsia"/>
                <w:sz w:val="24"/>
                <w:szCs w:val="24"/>
                <w:lang w:val="en-US" w:eastAsia="zh-CN"/>
              </w:rPr>
            </w:pPr>
          </w:p>
          <w:p>
            <w:pPr>
              <w:rPr>
                <w:rFonts w:hint="eastAsia"/>
                <w:sz w:val="24"/>
                <w:szCs w:val="24"/>
                <w:lang w:val="en-US" w:eastAsia="zh-CN"/>
              </w:rPr>
            </w:pPr>
          </w:p>
          <w:p>
            <w:pPr>
              <w:pStyle w:val="7"/>
              <w:rPr>
                <w:rFonts w:hint="eastAsia"/>
                <w:sz w:val="24"/>
                <w:szCs w:val="24"/>
                <w:lang w:val="en-US" w:eastAsia="zh-CN"/>
              </w:rPr>
            </w:pPr>
          </w:p>
          <w:p>
            <w:pPr>
              <w:pStyle w:val="7"/>
              <w:widowControl w:val="0"/>
              <w:numPr>
                <w:ilvl w:val="0"/>
                <w:numId w:val="0"/>
              </w:numPr>
              <w:autoSpaceDE w:val="0"/>
              <w:autoSpaceDN w:val="0"/>
              <w:adjustRightInd w:val="0"/>
              <w:snapToGrid w:val="0"/>
              <w:spacing w:before="0" w:after="0" w:line="360" w:lineRule="auto"/>
              <w:ind w:right="0" w:rightChars="0"/>
              <w:jc w:val="center"/>
              <w:rPr>
                <w:rFonts w:hint="default"/>
                <w:sz w:val="24"/>
                <w:szCs w:val="24"/>
                <w:lang w:val="en-US"/>
              </w:rPr>
            </w:pPr>
          </w:p>
          <w:p>
            <w:pPr>
              <w:rPr>
                <w:rFonts w:hint="default"/>
                <w:sz w:val="24"/>
                <w:szCs w:val="24"/>
                <w:lang w:val="en-US"/>
              </w:rPr>
            </w:pPr>
          </w:p>
          <w:p>
            <w:pPr>
              <w:pStyle w:val="7"/>
              <w:rPr>
                <w:rFonts w:hint="default"/>
                <w:sz w:val="24"/>
                <w:szCs w:val="24"/>
                <w:lang w:val="en-US"/>
              </w:rPr>
            </w:pPr>
          </w:p>
          <w:p>
            <w:pPr>
              <w:bidi w:val="0"/>
              <w:jc w:val="both"/>
              <w:rPr>
                <w:rFonts w:hint="default"/>
                <w:sz w:val="24"/>
                <w:szCs w:val="24"/>
              </w:rPr>
            </w:pPr>
          </w:p>
        </w:tc>
      </w:tr>
    </w:tbl>
    <w:p>
      <w:pPr>
        <w:spacing w:after="0"/>
        <w:jc w:val="center"/>
        <w:rPr>
          <w:sz w:val="21"/>
        </w:rPr>
        <w:sectPr>
          <w:pgSz w:w="11910" w:h="16840"/>
          <w:pgMar w:top="1417" w:right="1247" w:bottom="1417" w:left="1247" w:header="0" w:footer="1043" w:gutter="0"/>
          <w:cols w:space="720" w:num="1"/>
        </w:sectPr>
      </w:pPr>
    </w:p>
    <w:p>
      <w:pPr>
        <w:pStyle w:val="3"/>
        <w:bidi w:val="0"/>
      </w:pPr>
      <w:r>
        <w:rPr>
          <w:rFonts w:hint="eastAsia"/>
        </w:rPr>
        <w:t>二、建设项目工程分析</w:t>
      </w:r>
    </w:p>
    <w:tbl>
      <w:tblPr>
        <w:tblStyle w:val="15"/>
        <w:tblW w:w="0" w:type="auto"/>
        <w:tblInd w:w="13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718"/>
        <w:gridCol w:w="83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59" w:hRule="atLeast"/>
        </w:trPr>
        <w:tc>
          <w:tcPr>
            <w:tcW w:w="718" w:type="dxa"/>
            <w:tcBorders>
              <w:bottom w:val="single" w:color="000000" w:sz="4" w:space="0"/>
              <w:right w:val="single" w:color="000000" w:sz="4" w:space="0"/>
            </w:tcBorders>
            <w:vAlign w:val="center"/>
          </w:tcPr>
          <w:p>
            <w:pPr>
              <w:bidi w:val="0"/>
              <w:jc w:val="center"/>
              <w:rPr>
                <w:sz w:val="24"/>
                <w:szCs w:val="24"/>
              </w:rPr>
            </w:pPr>
            <w:r>
              <w:rPr>
                <w:sz w:val="24"/>
                <w:szCs w:val="24"/>
              </w:rPr>
              <w:t>建</w:t>
            </w:r>
          </w:p>
          <w:p>
            <w:pPr>
              <w:bidi w:val="0"/>
              <w:jc w:val="center"/>
              <w:rPr>
                <w:sz w:val="24"/>
                <w:szCs w:val="24"/>
              </w:rPr>
            </w:pPr>
            <w:r>
              <w:rPr>
                <w:sz w:val="24"/>
                <w:szCs w:val="24"/>
              </w:rPr>
              <w:t>设</w:t>
            </w:r>
          </w:p>
          <w:p>
            <w:pPr>
              <w:bidi w:val="0"/>
              <w:jc w:val="center"/>
              <w:rPr>
                <w:sz w:val="24"/>
                <w:szCs w:val="24"/>
              </w:rPr>
            </w:pPr>
            <w:r>
              <w:rPr>
                <w:sz w:val="24"/>
                <w:szCs w:val="24"/>
              </w:rPr>
              <w:t>内</w:t>
            </w:r>
          </w:p>
          <w:p>
            <w:pPr>
              <w:bidi w:val="0"/>
              <w:jc w:val="center"/>
              <w:rPr>
                <w:sz w:val="24"/>
                <w:szCs w:val="24"/>
              </w:rPr>
            </w:pPr>
            <w:r>
              <w:rPr>
                <w:sz w:val="24"/>
                <w:szCs w:val="24"/>
              </w:rPr>
              <w:t>容</w:t>
            </w:r>
          </w:p>
        </w:tc>
        <w:tc>
          <w:tcPr>
            <w:tcW w:w="8266" w:type="dxa"/>
            <w:tcBorders>
              <w:left w:val="single" w:color="000000" w:sz="4" w:space="0"/>
              <w:bottom w:val="single" w:color="000000" w:sz="4" w:space="0"/>
            </w:tcBorders>
            <w:vAlign w:val="top"/>
          </w:tcPr>
          <w:p>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right="0" w:rightChars="0" w:firstLine="482" w:firstLineChars="200"/>
              <w:jc w:val="both"/>
              <w:textAlignment w:val="auto"/>
            </w:pPr>
            <w:r>
              <w:rPr>
                <w:rFonts w:hint="eastAsia"/>
                <w:b/>
                <w:bCs/>
                <w:sz w:val="24"/>
                <w:szCs w:val="24"/>
                <w:lang w:val="en-US" w:eastAsia="zh-CN"/>
              </w:rPr>
              <w:t>1、建设内容及规模</w:t>
            </w:r>
          </w:p>
          <w:p>
            <w:pPr>
              <w:keepNext w:val="0"/>
              <w:keepLines w:val="0"/>
              <w:pageBreakBefore w:val="0"/>
              <w:widowControl w:val="0"/>
              <w:kinsoku/>
              <w:wordWrap/>
              <w:overflowPunct/>
              <w:topLinePunct w:val="0"/>
              <w:autoSpaceDE w:val="0"/>
              <w:autoSpaceDN w:val="0"/>
              <w:bidi w:val="0"/>
              <w:adjustRightInd/>
              <w:snapToGrid/>
              <w:spacing w:line="500" w:lineRule="exact"/>
              <w:ind w:left="0" w:leftChars="0" w:firstLine="480" w:firstLineChars="200"/>
              <w:jc w:val="left"/>
              <w:textAlignment w:val="auto"/>
              <w:rPr>
                <w:rFonts w:hint="eastAsia" w:eastAsia="宋体"/>
                <w:lang w:eastAsia="zh-CN"/>
              </w:rPr>
            </w:pPr>
            <w:r>
              <w:rPr>
                <w:rFonts w:hint="eastAsia" w:cs="Times New Roman"/>
                <w:color w:val="auto"/>
                <w:kern w:val="24"/>
                <w:sz w:val="24"/>
                <w:highlight w:val="none"/>
                <w:lang w:val="en-US" w:eastAsia="zh-CN"/>
              </w:rPr>
              <w:t>根据《</w:t>
            </w:r>
            <w:r>
              <w:rPr>
                <w:rFonts w:hint="eastAsia"/>
                <w:b w:val="0"/>
                <w:bCs/>
                <w:color w:val="auto"/>
                <w:sz w:val="24"/>
                <w:szCs w:val="24"/>
                <w:lang w:val="en-US" w:eastAsia="zh-CN"/>
              </w:rPr>
              <w:t>初步设计</w:t>
            </w:r>
            <w:r>
              <w:rPr>
                <w:rFonts w:hint="eastAsia" w:cs="Times New Roman"/>
                <w:color w:val="auto"/>
                <w:kern w:val="24"/>
                <w:sz w:val="24"/>
                <w:highlight w:val="none"/>
                <w:lang w:val="en-US" w:eastAsia="zh-CN"/>
              </w:rPr>
              <w:t>》及批复可知：</w:t>
            </w:r>
            <w:r>
              <w:t>本项目主要工程有河流水域生态保护修复工程、河流缓冲带生态保护修复工程及污水处理工程。具体建设内容包括</w:t>
            </w:r>
            <w:r>
              <w:rPr>
                <w:rFonts w:hint="eastAsia"/>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0" w:leftChars="0" w:right="0" w:rightChars="0" w:firstLine="480" w:firstLineChars="200"/>
              <w:jc w:val="left"/>
              <w:textAlignment w:val="auto"/>
            </w:pPr>
            <w:r>
              <w:rPr>
                <w:rFonts w:hint="eastAsia"/>
              </w:rPr>
              <w:t>①</w:t>
            </w:r>
            <w:r>
              <w:t>河流水域生态保护修复工程</w:t>
            </w:r>
            <w:r>
              <w:rPr>
                <w:rFonts w:hint="eastAsia"/>
                <w:lang w:val="en-US" w:eastAsia="zh-CN"/>
              </w:rPr>
              <w:t>：</w:t>
            </w:r>
            <w:r>
              <w:t>在东陡子峪村、西陡子峪村、思家岭村，新建沿河生态护坡486m、垃圾清理和底泥清淤3203.2m、建设污染阻隔墙2091m</w:t>
            </w:r>
            <w:r>
              <w:rPr>
                <w:rFonts w:hint="eastAsia"/>
                <w:lang w:eastAsia="zh-CN"/>
              </w:rPr>
              <w:t>；</w:t>
            </w:r>
            <w:r>
              <w:t xml:space="preserve">  思家岭村建设污染阻隔网220m</w:t>
            </w:r>
            <w:r>
              <w:rPr>
                <w:rFonts w:hint="eastAsia"/>
                <w:lang w:eastAsia="zh-CN"/>
              </w:rPr>
              <w:t>；</w:t>
            </w:r>
            <w:r>
              <w:t>西陡子峪村建设漫水坝8处共70m。</w:t>
            </w:r>
          </w:p>
          <w:p>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0" w:leftChars="0" w:right="0" w:rightChars="0" w:firstLine="480" w:firstLineChars="200"/>
              <w:jc w:val="left"/>
              <w:textAlignment w:val="auto"/>
            </w:pPr>
            <w:r>
              <w:rPr>
                <w:rFonts w:hint="eastAsia"/>
              </w:rPr>
              <w:t>②</w:t>
            </w:r>
            <w:r>
              <w:t>河流缓冲带生态保护修复工程</w:t>
            </w:r>
            <w:r>
              <w:rPr>
                <w:rFonts w:hint="eastAsia"/>
                <w:lang w:eastAsia="zh-CN"/>
              </w:rPr>
              <w:t>：</w:t>
            </w:r>
            <w:r>
              <w:t>在沥水沟村、东陡子峪村、西陡子峪村，栽种海棠333株，柿子树10株</w:t>
            </w:r>
            <w:r>
              <w:rPr>
                <w:rFonts w:hint="eastAsia"/>
                <w:lang w:eastAsia="zh-CN"/>
              </w:rPr>
              <w:t>，</w:t>
            </w:r>
            <w:r>
              <w:t>樱花树6株，杨树293株，柳树1491株，喷洒草籽 803.66kg。</w:t>
            </w:r>
          </w:p>
          <w:p>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0" w:leftChars="0" w:right="0" w:rightChars="0" w:firstLine="480" w:firstLineChars="200"/>
              <w:jc w:val="left"/>
              <w:textAlignment w:val="auto"/>
            </w:pPr>
            <w:r>
              <w:rPr>
                <w:rFonts w:hint="eastAsia"/>
              </w:rPr>
              <w:t>③</w:t>
            </w:r>
            <w:r>
              <w:t>污水处理工程</w:t>
            </w:r>
            <w:r>
              <w:rPr>
                <w:rFonts w:hint="eastAsia"/>
                <w:lang w:eastAsia="zh-CN"/>
              </w:rPr>
              <w:t>：</w:t>
            </w:r>
            <w:r>
              <w:t>在沥水沟村，建设日处理污水50m</w:t>
            </w:r>
            <w:r>
              <w:rPr>
                <w:rFonts w:hint="eastAsia"/>
                <w:vertAlign w:val="superscript"/>
                <w:lang w:val="en-US" w:eastAsia="zh-CN"/>
              </w:rPr>
              <w:t>3</w:t>
            </w:r>
            <w:r>
              <w:t>地埋式污水处理站1座，铺设污水管网高密度聚乙烯双壁波纹管（DN300）90m，高密度聚乙烯双壁波纹管（DN200）1860m，PVC-U管（De110）1900m</w:t>
            </w:r>
            <w:r>
              <w:rPr>
                <w:rFonts w:hint="eastAsia"/>
                <w:lang w:eastAsia="zh-CN"/>
              </w:rPr>
              <w:t>，</w:t>
            </w:r>
            <w:r>
              <w:t>PE管（De90）60m，检查井136个，破除及恢复路面8630m²。</w:t>
            </w:r>
          </w:p>
          <w:p>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0" w:leftChars="0" w:right="0" w:rightChars="0" w:firstLine="480" w:firstLineChars="200"/>
              <w:jc w:val="left"/>
              <w:textAlignment w:val="auto"/>
              <w:rPr>
                <w:rFonts w:hint="eastAsia"/>
                <w:sz w:val="24"/>
                <w:szCs w:val="24"/>
                <w:lang w:val="en-US" w:eastAsia="zh-CN"/>
              </w:rPr>
            </w:pPr>
            <w:r>
              <w:rPr>
                <w:rFonts w:hint="eastAsia"/>
                <w:sz w:val="24"/>
                <w:szCs w:val="24"/>
                <w:lang w:val="en-US" w:eastAsia="zh-CN"/>
              </w:rPr>
              <w:t>项目主要工程组成及建设内容见下表。</w:t>
            </w:r>
          </w:p>
          <w:p>
            <w:pPr>
              <w:bidi w:val="0"/>
              <w:rPr>
                <w:rFonts w:hint="eastAsia"/>
                <w:lang w:val="en-US" w:eastAsia="zh-CN"/>
              </w:rPr>
            </w:pPr>
            <w:r>
              <w:rPr>
                <w:rFonts w:hint="eastAsia"/>
                <w:b/>
                <w:bCs/>
                <w:sz w:val="21"/>
                <w:szCs w:val="21"/>
                <w:lang w:val="en-US" w:eastAsia="zh-CN"/>
              </w:rPr>
              <w:t>表2-1 主要工程组成及建设内容表</w:t>
            </w:r>
          </w:p>
          <w:tbl>
            <w:tblPr>
              <w:tblStyle w:val="1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44"/>
              <w:gridCol w:w="700"/>
              <w:gridCol w:w="6629"/>
              <w:gridCol w:w="46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noWrap w:val="0"/>
                  <w:vAlign w:val="center"/>
                </w:tcPr>
                <w:p>
                  <w:pPr>
                    <w:pStyle w:val="35"/>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项目组成</w:t>
                  </w:r>
                </w:p>
              </w:tc>
              <w:tc>
                <w:tcPr>
                  <w:tcW w:w="700" w:type="dxa"/>
                  <w:noWrap w:val="0"/>
                  <w:vAlign w:val="center"/>
                </w:tcPr>
                <w:p>
                  <w:pPr>
                    <w:pStyle w:val="35"/>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工程内容</w:t>
                  </w:r>
                </w:p>
              </w:tc>
              <w:tc>
                <w:tcPr>
                  <w:tcW w:w="6629" w:type="dxa"/>
                  <w:noWrap w:val="0"/>
                  <w:vAlign w:val="center"/>
                </w:tcPr>
                <w:p>
                  <w:pPr>
                    <w:pStyle w:val="35"/>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建设内容及规模</w:t>
                  </w:r>
                </w:p>
              </w:tc>
              <w:tc>
                <w:tcPr>
                  <w:tcW w:w="0" w:type="auto"/>
                  <w:noWrap w:val="0"/>
                  <w:vAlign w:val="center"/>
                </w:tcPr>
                <w:p>
                  <w:pPr>
                    <w:pStyle w:val="35"/>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restart"/>
                  <w:noWrap w:val="0"/>
                  <w:vAlign w:val="center"/>
                </w:tcPr>
                <w:p>
                  <w:pPr>
                    <w:pStyle w:val="35"/>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主体工程</w:t>
                  </w:r>
                </w:p>
              </w:tc>
              <w:tc>
                <w:tcPr>
                  <w:tcW w:w="700" w:type="dxa"/>
                  <w:noWrap w:val="0"/>
                  <w:vAlign w:val="center"/>
                </w:tcPr>
                <w:p>
                  <w:pPr>
                    <w:pStyle w:val="35"/>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lang w:val="en-US" w:eastAsia="zh-CN"/>
                    </w:rPr>
                    <w:t>河流水域生态保护修复工程</w:t>
                  </w:r>
                </w:p>
              </w:tc>
              <w:tc>
                <w:tcPr>
                  <w:tcW w:w="6629" w:type="dxa"/>
                  <w:noWrap w:val="0"/>
                  <w:vAlign w:val="center"/>
                </w:tcPr>
                <w:p>
                  <w:pPr>
                    <w:keepNext w:val="0"/>
                    <w:keepLines w:val="0"/>
                    <w:pageBreakBefore w:val="0"/>
                    <w:widowControl w:val="0"/>
                    <w:kinsoku w:val="0"/>
                    <w:wordWrap/>
                    <w:overflowPunct w:val="0"/>
                    <w:topLinePunct w:val="0"/>
                    <w:autoSpaceDE w:val="0"/>
                    <w:autoSpaceDN w:val="0"/>
                    <w:bidi w:val="0"/>
                    <w:adjustRightInd/>
                    <w:snapToGrid/>
                    <w:spacing w:before="0" w:after="0" w:line="240" w:lineRule="auto"/>
                    <w:ind w:right="0" w:rightChars="0" w:firstLine="0" w:firstLineChars="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1、西陡子峪河流水域生态保护修复工程</w:t>
                  </w:r>
                </w:p>
                <w:p>
                  <w:pPr>
                    <w:keepNext w:val="0"/>
                    <w:keepLines w:val="0"/>
                    <w:pageBreakBefore w:val="0"/>
                    <w:widowControl w:val="0"/>
                    <w:kinsoku w:val="0"/>
                    <w:wordWrap/>
                    <w:overflowPunct w:val="0"/>
                    <w:topLinePunct w:val="0"/>
                    <w:autoSpaceDE w:val="0"/>
                    <w:autoSpaceDN w:val="0"/>
                    <w:bidi w:val="0"/>
                    <w:adjustRightInd/>
                    <w:snapToGrid/>
                    <w:spacing w:before="0" w:after="0" w:line="240" w:lineRule="auto"/>
                    <w:ind w:right="0" w:rightChars="0" w:firstLine="0" w:firstLineChars="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①毛石基础青砖污染阻隔墙779米。</w:t>
                  </w:r>
                </w:p>
                <w:p>
                  <w:pPr>
                    <w:keepNext w:val="0"/>
                    <w:keepLines w:val="0"/>
                    <w:pageBreakBefore w:val="0"/>
                    <w:widowControl w:val="0"/>
                    <w:kinsoku w:val="0"/>
                    <w:wordWrap/>
                    <w:overflowPunct w:val="0"/>
                    <w:topLinePunct w:val="0"/>
                    <w:autoSpaceDE w:val="0"/>
                    <w:autoSpaceDN w:val="0"/>
                    <w:bidi w:val="0"/>
                    <w:adjustRightInd/>
                    <w:snapToGrid/>
                    <w:spacing w:before="0" w:after="0" w:line="240" w:lineRule="auto"/>
                    <w:ind w:right="0" w:rightChars="0" w:firstLine="0" w:firstLineChars="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②透水砖路面540平方米（1、素土夯实系数≥0.95 ，2、200mm厚天然级配砂石，3、150mm厚混凝土垫层，4、30mm厚1：3干硬性水泥砂浆，5、面层）。</w:t>
                  </w:r>
                </w:p>
                <w:p>
                  <w:pPr>
                    <w:keepNext w:val="0"/>
                    <w:keepLines w:val="0"/>
                    <w:pageBreakBefore w:val="0"/>
                    <w:widowControl w:val="0"/>
                    <w:kinsoku w:val="0"/>
                    <w:wordWrap/>
                    <w:overflowPunct w:val="0"/>
                    <w:topLinePunct w:val="0"/>
                    <w:autoSpaceDE w:val="0"/>
                    <w:autoSpaceDN w:val="0"/>
                    <w:bidi w:val="0"/>
                    <w:adjustRightInd/>
                    <w:snapToGrid/>
                    <w:spacing w:before="0" w:after="0" w:line="240" w:lineRule="auto"/>
                    <w:ind w:right="0" w:rightChars="0" w:firstLine="0" w:firstLineChars="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③清理河底淤泥深度0.6米及弃土石共计约1824.8立方米，漫水坝8处共70m。</w:t>
                  </w:r>
                </w:p>
                <w:p>
                  <w:pPr>
                    <w:keepNext w:val="0"/>
                    <w:keepLines w:val="0"/>
                    <w:pageBreakBefore w:val="0"/>
                    <w:widowControl w:val="0"/>
                    <w:kinsoku w:val="0"/>
                    <w:wordWrap/>
                    <w:overflowPunct w:val="0"/>
                    <w:topLinePunct w:val="0"/>
                    <w:autoSpaceDE w:val="0"/>
                    <w:autoSpaceDN w:val="0"/>
                    <w:bidi w:val="0"/>
                    <w:adjustRightInd/>
                    <w:snapToGrid/>
                    <w:spacing w:before="0" w:after="0" w:line="240" w:lineRule="auto"/>
                    <w:ind w:right="0" w:rightChars="0" w:firstLine="0" w:firstLineChars="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2、沥水沟河流水域生态保护修复工程</w:t>
                  </w:r>
                </w:p>
                <w:p>
                  <w:pPr>
                    <w:keepNext w:val="0"/>
                    <w:keepLines w:val="0"/>
                    <w:pageBreakBefore w:val="0"/>
                    <w:widowControl w:val="0"/>
                    <w:kinsoku w:val="0"/>
                    <w:wordWrap/>
                    <w:overflowPunct w:val="0"/>
                    <w:topLinePunct w:val="0"/>
                    <w:autoSpaceDE w:val="0"/>
                    <w:autoSpaceDN w:val="0"/>
                    <w:bidi w:val="0"/>
                    <w:adjustRightInd/>
                    <w:snapToGrid/>
                    <w:spacing w:before="0" w:after="0" w:line="240" w:lineRule="auto"/>
                    <w:ind w:right="0" w:rightChars="0" w:firstLine="0" w:firstLineChars="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①宾格石笼生态护坡112米。</w:t>
                  </w:r>
                </w:p>
                <w:p>
                  <w:pPr>
                    <w:keepNext w:val="0"/>
                    <w:keepLines w:val="0"/>
                    <w:pageBreakBefore w:val="0"/>
                    <w:widowControl w:val="0"/>
                    <w:kinsoku w:val="0"/>
                    <w:wordWrap/>
                    <w:overflowPunct w:val="0"/>
                    <w:topLinePunct w:val="0"/>
                    <w:autoSpaceDE w:val="0"/>
                    <w:autoSpaceDN w:val="0"/>
                    <w:bidi w:val="0"/>
                    <w:adjustRightInd/>
                    <w:snapToGrid/>
                    <w:spacing w:before="0" w:after="0" w:line="240" w:lineRule="auto"/>
                    <w:ind w:right="0" w:rightChars="0" w:firstLine="0" w:firstLineChars="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②毛石基础青砖污染阻隔墙465米。</w:t>
                  </w:r>
                </w:p>
                <w:p>
                  <w:pPr>
                    <w:keepNext w:val="0"/>
                    <w:keepLines w:val="0"/>
                    <w:pageBreakBefore w:val="0"/>
                    <w:widowControl w:val="0"/>
                    <w:kinsoku w:val="0"/>
                    <w:wordWrap/>
                    <w:overflowPunct w:val="0"/>
                    <w:topLinePunct w:val="0"/>
                    <w:autoSpaceDE w:val="0"/>
                    <w:autoSpaceDN w:val="0"/>
                    <w:bidi w:val="0"/>
                    <w:adjustRightInd/>
                    <w:snapToGrid/>
                    <w:spacing w:before="0" w:after="0" w:line="240" w:lineRule="auto"/>
                    <w:ind w:right="0" w:rightChars="0" w:firstLine="0" w:firstLineChars="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③透水砖路面1299平方米（1、素土夯实系数≥0.95 ，2、200mm厚天然级配砂石，3、150mm厚混凝土垫层，4、30mm厚1：3干硬性水泥砂浆，5、面层）。</w:t>
                  </w:r>
                </w:p>
                <w:p>
                  <w:pPr>
                    <w:keepNext w:val="0"/>
                    <w:keepLines w:val="0"/>
                    <w:pageBreakBefore w:val="0"/>
                    <w:widowControl w:val="0"/>
                    <w:kinsoku w:val="0"/>
                    <w:wordWrap/>
                    <w:overflowPunct w:val="0"/>
                    <w:topLinePunct w:val="0"/>
                    <w:autoSpaceDE w:val="0"/>
                    <w:autoSpaceDN w:val="0"/>
                    <w:bidi w:val="0"/>
                    <w:adjustRightInd/>
                    <w:snapToGrid/>
                    <w:spacing w:before="0" w:after="0" w:line="240" w:lineRule="auto"/>
                    <w:ind w:right="0" w:rightChars="0" w:firstLine="0" w:firstLineChars="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3、东陡子峪河流水域生态保护修复工程</w:t>
                  </w:r>
                </w:p>
                <w:p>
                  <w:pPr>
                    <w:keepNext w:val="0"/>
                    <w:keepLines w:val="0"/>
                    <w:pageBreakBefore w:val="0"/>
                    <w:widowControl w:val="0"/>
                    <w:kinsoku w:val="0"/>
                    <w:wordWrap/>
                    <w:overflowPunct w:val="0"/>
                    <w:topLinePunct w:val="0"/>
                    <w:autoSpaceDE w:val="0"/>
                    <w:autoSpaceDN w:val="0"/>
                    <w:bidi w:val="0"/>
                    <w:adjustRightInd/>
                    <w:snapToGrid/>
                    <w:spacing w:before="0" w:after="0" w:line="240" w:lineRule="auto"/>
                    <w:ind w:right="0" w:rightChars="0" w:firstLine="0" w:firstLineChars="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①宾格石笼生态护坡374米。</w:t>
                  </w:r>
                </w:p>
                <w:p>
                  <w:pPr>
                    <w:keepNext w:val="0"/>
                    <w:keepLines w:val="0"/>
                    <w:pageBreakBefore w:val="0"/>
                    <w:widowControl w:val="0"/>
                    <w:kinsoku w:val="0"/>
                    <w:wordWrap/>
                    <w:overflowPunct w:val="0"/>
                    <w:topLinePunct w:val="0"/>
                    <w:autoSpaceDE w:val="0"/>
                    <w:autoSpaceDN w:val="0"/>
                    <w:bidi w:val="0"/>
                    <w:adjustRightInd/>
                    <w:snapToGrid/>
                    <w:spacing w:before="0" w:after="0" w:line="240" w:lineRule="auto"/>
                    <w:ind w:right="0" w:rightChars="0" w:firstLine="0" w:firstLineChars="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②毛石基础青砖污染阻隔墙869米，透水砖路面125平方米（1、素土夯实系数≥0.95 ，2、200mm厚天然级配砂石，3、150mm厚混凝土垫层，4、30mm厚1：3干硬性水泥砂浆，5、面层）清理河底淤泥深度0.3米及弃土石共计约1378.4立方米。</w:t>
                  </w:r>
                </w:p>
                <w:p>
                  <w:pPr>
                    <w:keepNext w:val="0"/>
                    <w:keepLines w:val="0"/>
                    <w:pageBreakBefore w:val="0"/>
                    <w:widowControl w:val="0"/>
                    <w:kinsoku w:val="0"/>
                    <w:wordWrap/>
                    <w:overflowPunct w:val="0"/>
                    <w:topLinePunct w:val="0"/>
                    <w:autoSpaceDE w:val="0"/>
                    <w:autoSpaceDN w:val="0"/>
                    <w:bidi w:val="0"/>
                    <w:adjustRightInd/>
                    <w:snapToGrid/>
                    <w:spacing w:before="0" w:after="0" w:line="240" w:lineRule="auto"/>
                    <w:ind w:right="0" w:rightChars="0" w:firstLine="0" w:firstLineChars="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4、思家岭河流水域生态保护修复工程</w:t>
                  </w:r>
                </w:p>
                <w:p>
                  <w:pPr>
                    <w:keepNext w:val="0"/>
                    <w:keepLines w:val="0"/>
                    <w:pageBreakBefore w:val="0"/>
                    <w:widowControl w:val="0"/>
                    <w:kinsoku w:val="0"/>
                    <w:wordWrap/>
                    <w:overflowPunct w:val="0"/>
                    <w:topLinePunct w:val="0"/>
                    <w:autoSpaceDE w:val="0"/>
                    <w:autoSpaceDN w:val="0"/>
                    <w:bidi w:val="0"/>
                    <w:adjustRightInd/>
                    <w:snapToGrid/>
                    <w:spacing w:before="0" w:after="0" w:line="240" w:lineRule="auto"/>
                    <w:ind w:right="0" w:rightChars="0" w:firstLine="0" w:firstLineChars="0"/>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lang w:val="en-US" w:eastAsia="zh-CN"/>
                    </w:rPr>
                    <w:t>污染阻隔网220m。钢丝网格：材料为8#低碳钢丝，由专用机械或人工编织成网目的网片组装而成，网格孔径为10cm，孔径必须均匀，不得扭曲变形，偏差应小于设计孔径的5%。</w:t>
                  </w:r>
                </w:p>
              </w:tc>
              <w:tc>
                <w:tcPr>
                  <w:tcW w:w="0" w:type="auto"/>
                  <w:noWrap w:val="0"/>
                  <w:vAlign w:val="center"/>
                </w:tcPr>
                <w:p>
                  <w:pPr>
                    <w:pStyle w:val="35"/>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0" w:type="auto"/>
                  <w:vMerge w:val="continue"/>
                  <w:noWrap w:val="0"/>
                  <w:vAlign w:val="center"/>
                </w:tcPr>
                <w:p>
                  <w:pPr>
                    <w:pStyle w:val="35"/>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color w:val="auto"/>
                      <w:sz w:val="21"/>
                      <w:szCs w:val="21"/>
                      <w:highlight w:val="none"/>
                    </w:rPr>
                  </w:pPr>
                </w:p>
              </w:tc>
              <w:tc>
                <w:tcPr>
                  <w:tcW w:w="700" w:type="dxa"/>
                  <w:noWrap w:val="0"/>
                  <w:vAlign w:val="center"/>
                </w:tcPr>
                <w:p>
                  <w:pPr>
                    <w:pStyle w:val="35"/>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bCs w:val="0"/>
                      <w:sz w:val="21"/>
                      <w:szCs w:val="21"/>
                    </w:rPr>
                    <w:t>河流缓冲带生态保护修复工程</w:t>
                  </w:r>
                </w:p>
              </w:tc>
              <w:tc>
                <w:tcPr>
                  <w:tcW w:w="6629" w:type="dxa"/>
                  <w:noWrap w:val="0"/>
                  <w:vAlign w:val="center"/>
                </w:tcPr>
                <w:p>
                  <w:pPr>
                    <w:keepNext w:val="0"/>
                    <w:keepLines w:val="0"/>
                    <w:pageBreakBefore w:val="0"/>
                    <w:widowControl w:val="0"/>
                    <w:kinsoku w:val="0"/>
                    <w:wordWrap/>
                    <w:overflowPunct w:val="0"/>
                    <w:topLinePunct w:val="0"/>
                    <w:autoSpaceDE w:val="0"/>
                    <w:autoSpaceDN w:val="0"/>
                    <w:bidi w:val="0"/>
                    <w:adjustRightInd/>
                    <w:snapToGrid/>
                    <w:spacing w:before="0" w:after="0" w:line="240" w:lineRule="auto"/>
                    <w:ind w:right="0" w:rightChars="0" w:firstLine="0" w:firstLineChars="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西陡子峪村绿化场地</w:t>
                  </w:r>
                </w:p>
                <w:p>
                  <w:pPr>
                    <w:keepNext w:val="0"/>
                    <w:keepLines w:val="0"/>
                    <w:pageBreakBefore w:val="0"/>
                    <w:widowControl w:val="0"/>
                    <w:kinsoku w:val="0"/>
                    <w:wordWrap/>
                    <w:overflowPunct w:val="0"/>
                    <w:topLinePunct w:val="0"/>
                    <w:autoSpaceDE w:val="0"/>
                    <w:autoSpaceDN w:val="0"/>
                    <w:bidi w:val="0"/>
                    <w:adjustRightInd/>
                    <w:snapToGrid/>
                    <w:spacing w:before="0" w:after="0" w:line="240" w:lineRule="auto"/>
                    <w:ind w:right="0" w:rightChars="0" w:firstLine="0" w:firstLineChars="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主要工程内容有种植土回填，苗木种植品种为樱花树</w:t>
                  </w:r>
                  <w:r>
                    <w:rPr>
                      <w:rFonts w:hint="default" w:ascii="Times New Roman" w:hAnsi="Times New Roman" w:eastAsia="宋体" w:cs="Times New Roman"/>
                      <w:sz w:val="21"/>
                      <w:szCs w:val="21"/>
                      <w:lang w:val="en-US" w:eastAsia="zh-CN"/>
                    </w:rPr>
                    <w:t>6株（胸径：70mm、冠幅：2.0m、高度：2.0m）</w:t>
                  </w:r>
                  <w:r>
                    <w:rPr>
                      <w:rFonts w:hint="default" w:ascii="Times New Roman" w:hAnsi="Times New Roman" w:eastAsia="宋体" w:cs="Times New Roman"/>
                      <w:sz w:val="21"/>
                      <w:szCs w:val="21"/>
                    </w:rPr>
                    <w:t>、海棠树</w:t>
                  </w:r>
                  <w:r>
                    <w:rPr>
                      <w:rFonts w:hint="default" w:ascii="Times New Roman" w:hAnsi="Times New Roman" w:eastAsia="宋体" w:cs="Times New Roman"/>
                      <w:sz w:val="21"/>
                      <w:szCs w:val="21"/>
                      <w:lang w:val="en-US" w:eastAsia="zh-CN"/>
                    </w:rPr>
                    <w:t>113株（胸径：80mm、冠幅：2.0m、高度：2.0m）</w:t>
                  </w:r>
                  <w:r>
                    <w:rPr>
                      <w:rFonts w:hint="default" w:ascii="Times New Roman" w:hAnsi="Times New Roman" w:eastAsia="宋体" w:cs="Times New Roman"/>
                      <w:sz w:val="21"/>
                      <w:szCs w:val="21"/>
                    </w:rPr>
                    <w:t>、柿子树</w:t>
                  </w:r>
                  <w:r>
                    <w:rPr>
                      <w:rFonts w:hint="default" w:ascii="Times New Roman" w:hAnsi="Times New Roman" w:eastAsia="宋体" w:cs="Times New Roman"/>
                      <w:sz w:val="21"/>
                      <w:szCs w:val="21"/>
                      <w:lang w:val="en-US" w:eastAsia="zh-CN"/>
                    </w:rPr>
                    <w:t>10株（胸径：70mm、 冠幅：2.5m、高度：2.5m）</w:t>
                  </w:r>
                  <w:r>
                    <w:rPr>
                      <w:rFonts w:hint="default" w:ascii="Times New Roman" w:hAnsi="Times New Roman" w:eastAsia="宋体" w:cs="Times New Roman"/>
                      <w:sz w:val="21"/>
                      <w:szCs w:val="21"/>
                      <w:lang w:eastAsia="zh-CN"/>
                    </w:rPr>
                    <w:t>，喷洒草籽</w:t>
                  </w:r>
                  <w:r>
                    <w:rPr>
                      <w:rFonts w:hint="default" w:ascii="Times New Roman" w:hAnsi="Times New Roman" w:eastAsia="宋体" w:cs="Times New Roman"/>
                      <w:sz w:val="21"/>
                      <w:szCs w:val="21"/>
                      <w:lang w:val="en-US" w:eastAsia="zh-CN"/>
                    </w:rPr>
                    <w:t>99.13kg，</w:t>
                  </w:r>
                  <w:r>
                    <w:rPr>
                      <w:rFonts w:hint="default" w:ascii="Times New Roman" w:hAnsi="Times New Roman" w:eastAsia="宋体" w:cs="Times New Roman"/>
                      <w:sz w:val="21"/>
                      <w:szCs w:val="21"/>
                    </w:rPr>
                    <w:t>总面积约2207平方米</w:t>
                  </w:r>
                  <w:r>
                    <w:rPr>
                      <w:rFonts w:hint="default" w:ascii="Times New Roman" w:hAnsi="Times New Roman" w:eastAsia="宋体" w:cs="Times New Roman"/>
                      <w:sz w:val="21"/>
                      <w:szCs w:val="21"/>
                      <w:lang w:eastAsia="zh-CN"/>
                    </w:rPr>
                    <w:t>。</w:t>
                  </w:r>
                </w:p>
                <w:p>
                  <w:pPr>
                    <w:keepNext w:val="0"/>
                    <w:keepLines w:val="0"/>
                    <w:pageBreakBefore w:val="0"/>
                    <w:widowControl w:val="0"/>
                    <w:kinsoku w:val="0"/>
                    <w:wordWrap/>
                    <w:overflowPunct w:val="0"/>
                    <w:topLinePunct w:val="0"/>
                    <w:autoSpaceDE w:val="0"/>
                    <w:autoSpaceDN w:val="0"/>
                    <w:bidi w:val="0"/>
                    <w:adjustRightInd/>
                    <w:snapToGrid/>
                    <w:spacing w:before="0" w:after="0" w:line="240" w:lineRule="auto"/>
                    <w:ind w:right="0" w:rightChars="0" w:firstLine="0" w:firstLineChars="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东陡子峪村绿化场地</w:t>
                  </w:r>
                </w:p>
                <w:p>
                  <w:pPr>
                    <w:keepNext w:val="0"/>
                    <w:keepLines w:val="0"/>
                    <w:pageBreakBefore w:val="0"/>
                    <w:widowControl w:val="0"/>
                    <w:kinsoku w:val="0"/>
                    <w:wordWrap/>
                    <w:overflowPunct w:val="0"/>
                    <w:topLinePunct w:val="0"/>
                    <w:autoSpaceDE w:val="0"/>
                    <w:autoSpaceDN w:val="0"/>
                    <w:bidi w:val="0"/>
                    <w:adjustRightInd/>
                    <w:snapToGrid/>
                    <w:spacing w:before="0" w:after="0" w:line="240" w:lineRule="auto"/>
                    <w:ind w:right="0" w:rightChars="0" w:firstLine="0" w:firstLineChars="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主要工程内容有种植土回填，苗木种植品种为海棠树</w:t>
                  </w:r>
                  <w:r>
                    <w:rPr>
                      <w:rFonts w:hint="default" w:ascii="Times New Roman" w:hAnsi="Times New Roman" w:eastAsia="宋体" w:cs="Times New Roman"/>
                      <w:sz w:val="21"/>
                      <w:szCs w:val="21"/>
                      <w:lang w:val="en-US" w:eastAsia="zh-CN"/>
                    </w:rPr>
                    <w:t>50株（胸径：80mm、冠幅：2.0m、高度：2.0m）</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喷洒草籽</w:t>
                  </w:r>
                  <w:r>
                    <w:rPr>
                      <w:rFonts w:hint="default" w:ascii="Times New Roman" w:hAnsi="Times New Roman" w:eastAsia="宋体" w:cs="Times New Roman"/>
                      <w:sz w:val="21"/>
                      <w:szCs w:val="21"/>
                      <w:lang w:val="en-US" w:eastAsia="zh-CN"/>
                    </w:rPr>
                    <w:t>96.22kg，总面积2114平方米</w:t>
                  </w:r>
                  <w:r>
                    <w:rPr>
                      <w:rFonts w:hint="default" w:ascii="Times New Roman" w:hAnsi="Times New Roman" w:eastAsia="宋体" w:cs="Times New Roman"/>
                      <w:sz w:val="21"/>
                      <w:szCs w:val="21"/>
                    </w:rPr>
                    <w:t>。</w:t>
                  </w:r>
                </w:p>
                <w:p>
                  <w:pPr>
                    <w:keepNext w:val="0"/>
                    <w:keepLines w:val="0"/>
                    <w:pageBreakBefore w:val="0"/>
                    <w:widowControl w:val="0"/>
                    <w:kinsoku w:val="0"/>
                    <w:wordWrap/>
                    <w:overflowPunct w:val="0"/>
                    <w:topLinePunct w:val="0"/>
                    <w:autoSpaceDE w:val="0"/>
                    <w:autoSpaceDN w:val="0"/>
                    <w:bidi w:val="0"/>
                    <w:adjustRightInd/>
                    <w:snapToGrid/>
                    <w:spacing w:before="0" w:after="0" w:line="240" w:lineRule="auto"/>
                    <w:ind w:right="0" w:rightChars="0" w:firstLine="0" w:firstLineChars="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沥水沟村绿化场地</w:t>
                  </w:r>
                </w:p>
                <w:p>
                  <w:pPr>
                    <w:keepNext w:val="0"/>
                    <w:keepLines w:val="0"/>
                    <w:pageBreakBefore w:val="0"/>
                    <w:widowControl w:val="0"/>
                    <w:kinsoku w:val="0"/>
                    <w:wordWrap/>
                    <w:overflowPunct w:val="0"/>
                    <w:topLinePunct w:val="0"/>
                    <w:autoSpaceDE w:val="0"/>
                    <w:autoSpaceDN w:val="0"/>
                    <w:bidi w:val="0"/>
                    <w:adjustRightInd/>
                    <w:snapToGrid/>
                    <w:spacing w:before="0" w:after="0" w:line="240" w:lineRule="auto"/>
                    <w:ind w:right="0" w:rightChars="0"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主要工程内容有种植土回填，苗木种植品种为海棠树</w:t>
                  </w:r>
                  <w:r>
                    <w:rPr>
                      <w:rFonts w:hint="default" w:ascii="Times New Roman" w:hAnsi="Times New Roman" w:eastAsia="宋体" w:cs="Times New Roman"/>
                      <w:sz w:val="21"/>
                      <w:szCs w:val="21"/>
                      <w:lang w:val="en-US" w:eastAsia="zh-CN"/>
                    </w:rPr>
                    <w:t>170株（胸径：80mm、冠幅：2.0m、高度：2.0m）</w:t>
                  </w:r>
                  <w:r>
                    <w:rPr>
                      <w:rFonts w:hint="default" w:ascii="Times New Roman" w:hAnsi="Times New Roman" w:eastAsia="宋体" w:cs="Times New Roman"/>
                      <w:sz w:val="21"/>
                      <w:szCs w:val="21"/>
                    </w:rPr>
                    <w:t>、杨树</w:t>
                  </w:r>
                  <w:r>
                    <w:rPr>
                      <w:rFonts w:hint="default" w:ascii="Times New Roman" w:hAnsi="Times New Roman" w:eastAsia="宋体" w:cs="Times New Roman"/>
                      <w:sz w:val="21"/>
                      <w:szCs w:val="21"/>
                      <w:lang w:val="en-US" w:eastAsia="zh-CN"/>
                    </w:rPr>
                    <w:t>293株（胸径：150mm、冠幅：3.0m、高度：3.0m）</w:t>
                  </w:r>
                  <w:r>
                    <w:rPr>
                      <w:rFonts w:hint="default" w:ascii="Times New Roman" w:hAnsi="Times New Roman" w:eastAsia="宋体" w:cs="Times New Roman"/>
                      <w:sz w:val="21"/>
                      <w:szCs w:val="21"/>
                    </w:rPr>
                    <w:t>、柳树</w:t>
                  </w:r>
                  <w:r>
                    <w:rPr>
                      <w:rFonts w:hint="default" w:ascii="Times New Roman" w:hAnsi="Times New Roman" w:eastAsia="宋体" w:cs="Times New Roman"/>
                      <w:sz w:val="21"/>
                      <w:szCs w:val="21"/>
                      <w:lang w:val="en-US" w:eastAsia="zh-CN"/>
                    </w:rPr>
                    <w:t>1491株（胸径：80mm、冠幅：2.0m、高度：1.8m）</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喷洒草籽</w:t>
                  </w:r>
                  <w:r>
                    <w:rPr>
                      <w:rFonts w:hint="default" w:ascii="Times New Roman" w:hAnsi="Times New Roman" w:eastAsia="宋体" w:cs="Times New Roman"/>
                      <w:sz w:val="21"/>
                      <w:szCs w:val="21"/>
                      <w:lang w:val="en-US" w:eastAsia="zh-CN"/>
                    </w:rPr>
                    <w:t>608.31kg，总面积16165平方米</w:t>
                  </w:r>
                  <w:r>
                    <w:rPr>
                      <w:rFonts w:hint="default" w:ascii="Times New Roman" w:hAnsi="Times New Roman" w:eastAsia="宋体" w:cs="Times New Roman"/>
                      <w:sz w:val="21"/>
                      <w:szCs w:val="21"/>
                    </w:rPr>
                    <w:t>。</w:t>
                  </w:r>
                </w:p>
              </w:tc>
              <w:tc>
                <w:tcPr>
                  <w:tcW w:w="0" w:type="auto"/>
                  <w:noWrap w:val="0"/>
                  <w:vAlign w:val="center"/>
                </w:tcPr>
                <w:p>
                  <w:pPr>
                    <w:pStyle w:val="35"/>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0" w:type="auto"/>
                  <w:vMerge w:val="continue"/>
                  <w:noWrap w:val="0"/>
                  <w:vAlign w:val="center"/>
                </w:tcPr>
                <w:p>
                  <w:pPr>
                    <w:pStyle w:val="35"/>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color w:val="auto"/>
                      <w:sz w:val="21"/>
                      <w:szCs w:val="21"/>
                      <w:highlight w:val="none"/>
                    </w:rPr>
                  </w:pPr>
                </w:p>
              </w:tc>
              <w:tc>
                <w:tcPr>
                  <w:tcW w:w="700" w:type="dxa"/>
                  <w:noWrap w:val="0"/>
                  <w:vAlign w:val="center"/>
                </w:tcPr>
                <w:p>
                  <w:pPr>
                    <w:pStyle w:val="35"/>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污水处理工程</w:t>
                  </w:r>
                </w:p>
              </w:tc>
              <w:tc>
                <w:tcPr>
                  <w:tcW w:w="6629" w:type="dxa"/>
                  <w:noWrap w:val="0"/>
                  <w:vAlign w:val="center"/>
                </w:tcPr>
                <w:p>
                  <w:pPr>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在沥水沟村，建设日处理污水50m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rPr>
                    <w:t>地埋式污水处理站1座，铺设污水管网高密度聚乙烯双壁波纹管（DN300）90m，高密度聚乙烯双壁波纹管（DN200）1860m，PVC-U管（De110）1900m</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PE管（De90）60m，检查井136个，破除及恢复路面8630m²。</w:t>
                  </w:r>
                  <w:r>
                    <w:rPr>
                      <w:rFonts w:hint="default" w:ascii="Times New Roman" w:hAnsi="Times New Roman" w:eastAsia="宋体" w:cs="Times New Roman"/>
                      <w:sz w:val="21"/>
                      <w:szCs w:val="21"/>
                      <w:lang w:eastAsia="zh-CN"/>
                    </w:rPr>
                    <w:t>建设</w:t>
                  </w:r>
                  <w:r>
                    <w:rPr>
                      <w:rFonts w:hint="default" w:ascii="Times New Roman" w:hAnsi="Times New Roman" w:eastAsia="宋体" w:cs="Times New Roman"/>
                      <w:sz w:val="21"/>
                      <w:szCs w:val="21"/>
                      <w:lang w:val="en-US" w:eastAsia="zh-CN"/>
                    </w:rPr>
                    <w:t>50m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尾水收集池</w:t>
                  </w:r>
                </w:p>
              </w:tc>
              <w:tc>
                <w:tcPr>
                  <w:tcW w:w="0" w:type="auto"/>
                  <w:noWrap w:val="0"/>
                  <w:vAlign w:val="center"/>
                </w:tcPr>
                <w:p>
                  <w:pPr>
                    <w:pStyle w:val="35"/>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0" w:type="auto"/>
                  <w:vMerge w:val="restart"/>
                  <w:noWrap w:val="0"/>
                  <w:vAlign w:val="center"/>
                </w:tcPr>
                <w:p>
                  <w:pPr>
                    <w:pStyle w:val="35"/>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储运工程</w:t>
                  </w:r>
                </w:p>
              </w:tc>
              <w:tc>
                <w:tcPr>
                  <w:tcW w:w="700" w:type="dxa"/>
                  <w:noWrap w:val="0"/>
                  <w:vAlign w:val="center"/>
                </w:tcPr>
                <w:p>
                  <w:pPr>
                    <w:pStyle w:val="35"/>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交通运输</w:t>
                  </w:r>
                </w:p>
              </w:tc>
              <w:tc>
                <w:tcPr>
                  <w:tcW w:w="6629" w:type="dxa"/>
                  <w:noWrap w:val="0"/>
                  <w:vAlign w:val="center"/>
                </w:tcPr>
                <w:p>
                  <w:pPr>
                    <w:pStyle w:val="33"/>
                    <w:keepNext w:val="0"/>
                    <w:keepLines w:val="0"/>
                    <w:pageBreakBefore w:val="0"/>
                    <w:kinsoku w:val="0"/>
                    <w:wordWrap/>
                    <w:overflowPunct w:val="0"/>
                    <w:topLinePunct w:val="0"/>
                    <w:bidi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交通运输便利。</w:t>
                  </w:r>
                </w:p>
              </w:tc>
              <w:tc>
                <w:tcPr>
                  <w:tcW w:w="0" w:type="auto"/>
                  <w:noWrap w:val="0"/>
                  <w:vAlign w:val="center"/>
                </w:tcPr>
                <w:p>
                  <w:pPr>
                    <w:pStyle w:val="35"/>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0" w:type="auto"/>
                  <w:vMerge w:val="continue"/>
                  <w:noWrap w:val="0"/>
                  <w:vAlign w:val="center"/>
                </w:tcPr>
                <w:p>
                  <w:pPr>
                    <w:pStyle w:val="35"/>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color w:val="auto"/>
                      <w:sz w:val="21"/>
                      <w:szCs w:val="21"/>
                      <w:highlight w:val="none"/>
                    </w:rPr>
                  </w:pPr>
                </w:p>
              </w:tc>
              <w:tc>
                <w:tcPr>
                  <w:tcW w:w="700" w:type="dxa"/>
                  <w:noWrap w:val="0"/>
                  <w:vAlign w:val="center"/>
                </w:tcPr>
                <w:p>
                  <w:pPr>
                    <w:pStyle w:val="35"/>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洗车平台</w:t>
                  </w:r>
                </w:p>
              </w:tc>
              <w:tc>
                <w:tcPr>
                  <w:tcW w:w="6629" w:type="dxa"/>
                  <w:noWrap w:val="0"/>
                  <w:vAlign w:val="center"/>
                </w:tcPr>
                <w:p>
                  <w:pPr>
                    <w:pStyle w:val="33"/>
                    <w:keepNext w:val="0"/>
                    <w:keepLines w:val="0"/>
                    <w:pageBreakBefore w:val="0"/>
                    <w:kinsoku w:val="0"/>
                    <w:wordWrap/>
                    <w:overflowPunct w:val="0"/>
                    <w:topLinePunct w:val="0"/>
                    <w:bidi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施工区出入口设洗车平台及配套沉淀池。</w:t>
                  </w:r>
                </w:p>
              </w:tc>
              <w:tc>
                <w:tcPr>
                  <w:tcW w:w="0" w:type="auto"/>
                  <w:noWrap w:val="0"/>
                  <w:vAlign w:val="center"/>
                </w:tcPr>
                <w:p>
                  <w:pPr>
                    <w:pStyle w:val="35"/>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0" w:type="auto"/>
                  <w:vMerge w:val="restart"/>
                  <w:noWrap w:val="0"/>
                  <w:vAlign w:val="center"/>
                </w:tcPr>
                <w:p>
                  <w:pPr>
                    <w:pStyle w:val="35"/>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公用工程</w:t>
                  </w:r>
                </w:p>
              </w:tc>
              <w:tc>
                <w:tcPr>
                  <w:tcW w:w="700" w:type="dxa"/>
                  <w:noWrap w:val="0"/>
                  <w:vAlign w:val="center"/>
                </w:tcPr>
                <w:p>
                  <w:pPr>
                    <w:pStyle w:val="35"/>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给水工程</w:t>
                  </w:r>
                </w:p>
              </w:tc>
              <w:tc>
                <w:tcPr>
                  <w:tcW w:w="6629" w:type="dxa"/>
                  <w:noWrap w:val="0"/>
                  <w:vAlign w:val="center"/>
                </w:tcPr>
                <w:p>
                  <w:pPr>
                    <w:keepNext w:val="0"/>
                    <w:keepLines w:val="0"/>
                    <w:pageBreakBefore w:val="0"/>
                    <w:widowControl/>
                    <w:kinsoku w:val="0"/>
                    <w:wordWrap/>
                    <w:overflowPunct w:val="0"/>
                    <w:topLinePunct w:val="0"/>
                    <w:bidi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施工期用</w:t>
                  </w:r>
                  <w:r>
                    <w:rPr>
                      <w:rFonts w:hint="default" w:ascii="Times New Roman" w:hAnsi="Times New Roman" w:eastAsia="宋体" w:cs="Times New Roman"/>
                      <w:color w:val="auto"/>
                      <w:sz w:val="21"/>
                      <w:szCs w:val="21"/>
                    </w:rPr>
                    <w:t>水</w:t>
                  </w:r>
                  <w:r>
                    <w:rPr>
                      <w:rFonts w:hint="default" w:ascii="Times New Roman" w:hAnsi="Times New Roman" w:eastAsia="宋体" w:cs="Times New Roman"/>
                      <w:color w:val="auto"/>
                      <w:sz w:val="21"/>
                      <w:szCs w:val="21"/>
                      <w:lang w:val="en-US" w:eastAsia="zh-CN"/>
                    </w:rPr>
                    <w:t>取水于河道</w:t>
                  </w:r>
                  <w:r>
                    <w:rPr>
                      <w:rFonts w:hint="default" w:ascii="Times New Roman" w:hAnsi="Times New Roman" w:eastAsia="宋体" w:cs="Times New Roman"/>
                      <w:color w:val="auto"/>
                      <w:sz w:val="21"/>
                      <w:szCs w:val="21"/>
                      <w:highlight w:val="none"/>
                      <w:lang w:val="en-US" w:eastAsia="zh-CN"/>
                    </w:rPr>
                    <w:t>。</w:t>
                  </w:r>
                </w:p>
              </w:tc>
              <w:tc>
                <w:tcPr>
                  <w:tcW w:w="0" w:type="auto"/>
                  <w:noWrap w:val="0"/>
                  <w:vAlign w:val="center"/>
                </w:tcPr>
                <w:p>
                  <w:pPr>
                    <w:keepNext w:val="0"/>
                    <w:keepLines w:val="0"/>
                    <w:pageBreakBefore w:val="0"/>
                    <w:widowControl/>
                    <w:kinsoku w:val="0"/>
                    <w:wordWrap/>
                    <w:overflowPunct w:val="0"/>
                    <w:topLinePunct w:val="0"/>
                    <w:bidi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依托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0" w:type="auto"/>
                  <w:vMerge w:val="continue"/>
                  <w:noWrap w:val="0"/>
                  <w:vAlign w:val="center"/>
                </w:tcPr>
                <w:p>
                  <w:pPr>
                    <w:pStyle w:val="35"/>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color w:val="auto"/>
                      <w:sz w:val="21"/>
                      <w:szCs w:val="21"/>
                      <w:highlight w:val="none"/>
                    </w:rPr>
                  </w:pPr>
                </w:p>
              </w:tc>
              <w:tc>
                <w:tcPr>
                  <w:tcW w:w="700" w:type="dxa"/>
                  <w:noWrap w:val="0"/>
                  <w:vAlign w:val="center"/>
                </w:tcPr>
                <w:p>
                  <w:pPr>
                    <w:pStyle w:val="35"/>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排水工程</w:t>
                  </w:r>
                </w:p>
              </w:tc>
              <w:tc>
                <w:tcPr>
                  <w:tcW w:w="6629" w:type="dxa"/>
                  <w:noWrap w:val="0"/>
                  <w:vAlign w:val="center"/>
                </w:tcPr>
                <w:p>
                  <w:pPr>
                    <w:pStyle w:val="36"/>
                    <w:keepNext w:val="0"/>
                    <w:keepLines w:val="0"/>
                    <w:pageBreakBefore w:val="0"/>
                    <w:kinsoku w:val="0"/>
                    <w:wordWrap/>
                    <w:overflowPunct w:val="0"/>
                    <w:topLinePunct w:val="0"/>
                    <w:bidi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车辆清洗废水排入沉淀池内，沉淀后回用；</w:t>
                  </w:r>
                </w:p>
              </w:tc>
              <w:tc>
                <w:tcPr>
                  <w:tcW w:w="0" w:type="auto"/>
                  <w:noWrap w:val="0"/>
                  <w:vAlign w:val="center"/>
                </w:tcPr>
                <w:p>
                  <w:pPr>
                    <w:pStyle w:val="35"/>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bCs/>
                      <w:color w:val="auto"/>
                      <w:kern w:val="44"/>
                      <w:sz w:val="21"/>
                      <w:szCs w:val="21"/>
                      <w:highlight w:val="none"/>
                      <w:lang w:val="en-US" w:eastAsia="zh-CN"/>
                    </w:rPr>
                  </w:pPr>
                  <w:r>
                    <w:rPr>
                      <w:rFonts w:hint="default" w:ascii="Times New Roman" w:hAnsi="Times New Roman" w:eastAsia="宋体" w:cs="Times New Roman"/>
                      <w:bCs/>
                      <w:color w:val="auto"/>
                      <w:kern w:val="44"/>
                      <w:sz w:val="21"/>
                      <w:szCs w:val="21"/>
                      <w:highlight w:val="none"/>
                      <w:lang w:val="en-US" w:eastAsia="zh-CN"/>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0" w:type="auto"/>
                  <w:vMerge w:val="continue"/>
                  <w:noWrap w:val="0"/>
                  <w:vAlign w:val="center"/>
                </w:tcPr>
                <w:p>
                  <w:pPr>
                    <w:pStyle w:val="35"/>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color w:val="auto"/>
                      <w:sz w:val="21"/>
                      <w:szCs w:val="21"/>
                      <w:highlight w:val="none"/>
                    </w:rPr>
                  </w:pPr>
                </w:p>
              </w:tc>
              <w:tc>
                <w:tcPr>
                  <w:tcW w:w="700" w:type="dxa"/>
                  <w:noWrap w:val="0"/>
                  <w:vAlign w:val="center"/>
                </w:tcPr>
                <w:p>
                  <w:pPr>
                    <w:pStyle w:val="35"/>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供电工程</w:t>
                  </w:r>
                </w:p>
              </w:tc>
              <w:tc>
                <w:tcPr>
                  <w:tcW w:w="6629" w:type="dxa"/>
                  <w:noWrap w:val="0"/>
                  <w:vAlign w:val="center"/>
                </w:tcPr>
                <w:p>
                  <w:pPr>
                    <w:pStyle w:val="35"/>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当地电网。</w:t>
                  </w:r>
                </w:p>
              </w:tc>
              <w:tc>
                <w:tcPr>
                  <w:tcW w:w="0" w:type="auto"/>
                  <w:noWrap w:val="0"/>
                  <w:vAlign w:val="center"/>
                </w:tcPr>
                <w:p>
                  <w:pPr>
                    <w:pStyle w:val="35"/>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eastAsia="宋体" w:cs="Times New Roman"/>
                      <w:bCs/>
                      <w:color w:val="auto"/>
                      <w:kern w:val="44"/>
                      <w:sz w:val="21"/>
                      <w:szCs w:val="21"/>
                      <w:highlight w:val="none"/>
                      <w:lang w:val="en-US" w:eastAsia="zh-CN"/>
                    </w:rPr>
                    <w:t>依托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0" w:type="auto"/>
                  <w:vMerge w:val="restart"/>
                  <w:noWrap w:val="0"/>
                  <w:vAlign w:val="center"/>
                </w:tcPr>
                <w:p>
                  <w:pPr>
                    <w:pStyle w:val="35"/>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auto"/>
                    </w:rPr>
                    <w:t>环保工程</w:t>
                  </w:r>
                </w:p>
              </w:tc>
              <w:tc>
                <w:tcPr>
                  <w:tcW w:w="700" w:type="dxa"/>
                  <w:noWrap w:val="0"/>
                  <w:vAlign w:val="center"/>
                </w:tcPr>
                <w:p>
                  <w:pPr>
                    <w:keepNext w:val="0"/>
                    <w:keepLines w:val="0"/>
                    <w:pageBreakBefore w:val="0"/>
                    <w:widowControl/>
                    <w:kinsoku w:val="0"/>
                    <w:wordWrap/>
                    <w:overflowPunct w:val="0"/>
                    <w:topLinePunct w:val="0"/>
                    <w:bidi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6629"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施工期：设置围挡；</w:t>
                  </w:r>
                  <w:r>
                    <w:rPr>
                      <w:rFonts w:hint="default" w:ascii="Times New Roman" w:hAnsi="Times New Roman" w:eastAsia="宋体" w:cs="Times New Roman"/>
                      <w:sz w:val="21"/>
                      <w:szCs w:val="21"/>
                    </w:rPr>
                    <w:t>裸露场地采取覆盖、固化或绿化等防尘措施</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运输道路采取硬化处理；设车辆清洗平台；</w:t>
                  </w:r>
                  <w:r>
                    <w:rPr>
                      <w:rFonts w:hint="default" w:ascii="Times New Roman" w:hAnsi="Times New Roman" w:eastAsia="宋体" w:cs="Times New Roman"/>
                      <w:sz w:val="21"/>
                      <w:szCs w:val="21"/>
                    </w:rPr>
                    <w:t>四周应采取洒水、喷雾等降尘措施</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车辆使用清洁能源并定期养护维修</w:t>
                  </w:r>
                  <w:r>
                    <w:rPr>
                      <w:rFonts w:hint="default" w:ascii="Times New Roman" w:hAnsi="Times New Roman" w:eastAsia="宋体" w:cs="Times New Roman"/>
                      <w:sz w:val="21"/>
                      <w:szCs w:val="21"/>
                      <w:lang w:eastAsia="zh-CN"/>
                    </w:rPr>
                    <w:t>。</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eastAsia="宋体"/>
                      <w:lang w:val="en-US" w:eastAsia="zh-CN"/>
                    </w:rPr>
                  </w:pPr>
                  <w:r>
                    <w:rPr>
                      <w:rFonts w:hint="default" w:ascii="Times New Roman" w:hAnsi="Times New Roman" w:eastAsia="宋体" w:cs="Times New Roman"/>
                      <w:sz w:val="21"/>
                      <w:szCs w:val="21"/>
                      <w:lang w:eastAsia="zh-CN"/>
                    </w:rPr>
                    <w:t>运营期：</w:t>
                  </w:r>
                  <w:r>
                    <w:rPr>
                      <w:rFonts w:hint="default" w:ascii="Times New Roman" w:hAnsi="Times New Roman" w:eastAsia="宋体" w:cs="Times New Roman"/>
                      <w:sz w:val="21"/>
                      <w:szCs w:val="21"/>
                    </w:rPr>
                    <w:t>污水处理站设备或池体加盖，</w:t>
                  </w:r>
                  <w:r>
                    <w:rPr>
                      <w:rFonts w:hint="default" w:ascii="Times New Roman" w:hAnsi="Times New Roman" w:eastAsia="宋体" w:cs="Times New Roman"/>
                      <w:sz w:val="21"/>
                      <w:szCs w:val="21"/>
                      <w:lang w:eastAsia="zh-CN"/>
                    </w:rPr>
                    <w:t>设备</w:t>
                  </w:r>
                  <w:r>
                    <w:rPr>
                      <w:rFonts w:hint="default" w:ascii="Times New Roman" w:hAnsi="Times New Roman" w:eastAsia="宋体" w:cs="Times New Roman"/>
                      <w:sz w:val="21"/>
                      <w:szCs w:val="21"/>
                    </w:rPr>
                    <w:t>设置于地下，地埋式作业，定期投加除臭剂</w:t>
                  </w:r>
                  <w:r>
                    <w:rPr>
                      <w:rFonts w:hint="eastAsia" w:ascii="Times New Roman" w:hAnsi="Times New Roman" w:eastAsia="宋体" w:cs="Times New Roman"/>
                      <w:sz w:val="21"/>
                      <w:szCs w:val="21"/>
                      <w:lang w:eastAsia="zh-CN"/>
                    </w:rPr>
                    <w:t>。</w:t>
                  </w:r>
                </w:p>
              </w:tc>
              <w:tc>
                <w:tcPr>
                  <w:tcW w:w="0" w:type="auto"/>
                  <w:noWrap w:val="0"/>
                  <w:vAlign w:val="center"/>
                </w:tcPr>
                <w:p>
                  <w:pPr>
                    <w:keepNext w:val="0"/>
                    <w:keepLines w:val="0"/>
                    <w:pageBreakBefore w:val="0"/>
                    <w:kinsoku w:val="0"/>
                    <w:wordWrap/>
                    <w:overflowPunct w:val="0"/>
                    <w:topLinePunct w:val="0"/>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0" w:type="auto"/>
                  <w:vMerge w:val="continue"/>
                  <w:noWrap w:val="0"/>
                  <w:vAlign w:val="center"/>
                </w:tcPr>
                <w:p>
                  <w:pPr>
                    <w:pStyle w:val="35"/>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color w:val="auto"/>
                      <w:sz w:val="21"/>
                      <w:szCs w:val="21"/>
                      <w:highlight w:val="none"/>
                    </w:rPr>
                  </w:pPr>
                </w:p>
              </w:tc>
              <w:tc>
                <w:tcPr>
                  <w:tcW w:w="700" w:type="dxa"/>
                  <w:noWrap w:val="0"/>
                  <w:vAlign w:val="center"/>
                </w:tcPr>
                <w:p>
                  <w:pPr>
                    <w:keepNext w:val="0"/>
                    <w:keepLines w:val="0"/>
                    <w:pageBreakBefore w:val="0"/>
                    <w:widowControl/>
                    <w:kinsoku w:val="0"/>
                    <w:wordWrap/>
                    <w:overflowPunct w:val="0"/>
                    <w:topLinePunct w:val="0"/>
                    <w:bidi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废水</w:t>
                  </w:r>
                </w:p>
              </w:tc>
              <w:tc>
                <w:tcPr>
                  <w:tcW w:w="6629" w:type="dxa"/>
                  <w:noWrap w:val="0"/>
                  <w:vAlign w:val="center"/>
                </w:tcPr>
                <w:p>
                  <w:pPr>
                    <w:pStyle w:val="36"/>
                    <w:keepNext w:val="0"/>
                    <w:keepLines w:val="0"/>
                    <w:pageBreakBefore w:val="0"/>
                    <w:kinsoku w:val="0"/>
                    <w:wordWrap/>
                    <w:overflowPunct w:val="0"/>
                    <w:topLinePunct w:val="0"/>
                    <w:bidi w:val="0"/>
                    <w:spacing w:before="0" w:beforeLines="0" w:after="0" w:afterLines="0" w:line="240" w:lineRule="auto"/>
                    <w:ind w:right="0" w:rightChars="0"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施工期：</w:t>
                  </w:r>
                  <w:r>
                    <w:rPr>
                      <w:rFonts w:hint="default" w:ascii="Times New Roman" w:hAnsi="Times New Roman" w:eastAsia="宋体" w:cs="Times New Roman"/>
                      <w:color w:val="auto"/>
                      <w:sz w:val="21"/>
                      <w:szCs w:val="21"/>
                      <w:lang w:val="en-US" w:eastAsia="zh-CN"/>
                    </w:rPr>
                    <w:t>车辆清洗废水排入沉淀池内，沉淀后回用；</w:t>
                  </w:r>
                </w:p>
                <w:p>
                  <w:pPr>
                    <w:pStyle w:val="36"/>
                    <w:keepNext w:val="0"/>
                    <w:keepLines w:val="0"/>
                    <w:pageBreakBefore w:val="0"/>
                    <w:kinsoku w:val="0"/>
                    <w:wordWrap/>
                    <w:overflowPunct w:val="0"/>
                    <w:topLinePunct w:val="0"/>
                    <w:bidi w:val="0"/>
                    <w:spacing w:before="0" w:beforeLines="0" w:after="0" w:afterLines="0" w:line="240" w:lineRule="auto"/>
                    <w:ind w:right="0" w:rightChars="0"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eastAsia="zh-CN"/>
                    </w:rPr>
                    <w:t>运营期：村民</w:t>
                  </w:r>
                  <w:r>
                    <w:rPr>
                      <w:rFonts w:hint="default" w:ascii="Times New Roman" w:hAnsi="Times New Roman" w:eastAsia="宋体" w:cs="Times New Roman"/>
                      <w:sz w:val="21"/>
                      <w:szCs w:val="21"/>
                    </w:rPr>
                    <w:t>生活污水经污水管网排入化粪池</w:t>
                  </w:r>
                  <w:r>
                    <w:rPr>
                      <w:rFonts w:hint="default" w:ascii="Times New Roman" w:hAnsi="Times New Roman" w:eastAsia="宋体" w:cs="Times New Roman"/>
                      <w:sz w:val="21"/>
                      <w:szCs w:val="21"/>
                      <w:lang w:eastAsia="zh-CN"/>
                    </w:rPr>
                    <w:t>后进入</w:t>
                  </w:r>
                  <w:r>
                    <w:rPr>
                      <w:rFonts w:hint="default" w:ascii="Times New Roman" w:hAnsi="Times New Roman" w:eastAsia="宋体" w:cs="Times New Roman"/>
                      <w:sz w:val="21"/>
                      <w:szCs w:val="21"/>
                    </w:rPr>
                    <w:t>污水处理站，经过处理达标后</w:t>
                  </w:r>
                  <w:r>
                    <w:rPr>
                      <w:rFonts w:hint="default" w:ascii="Times New Roman" w:hAnsi="Times New Roman" w:eastAsia="宋体" w:cs="Times New Roman"/>
                      <w:sz w:val="21"/>
                      <w:szCs w:val="21"/>
                      <w:lang w:eastAsia="zh-CN"/>
                    </w:rPr>
                    <w:t>用于</w:t>
                  </w:r>
                  <w:r>
                    <w:rPr>
                      <w:rFonts w:hint="default" w:ascii="Times New Roman" w:hAnsi="Times New Roman" w:eastAsia="宋体" w:cs="Times New Roman"/>
                      <w:sz w:val="21"/>
                      <w:szCs w:val="21"/>
                    </w:rPr>
                    <w:t>农田灌溉、</w:t>
                  </w:r>
                  <w:r>
                    <w:rPr>
                      <w:rFonts w:hint="default" w:ascii="Times New Roman" w:hAnsi="Times New Roman" w:eastAsia="宋体" w:cs="Times New Roman"/>
                      <w:sz w:val="21"/>
                      <w:szCs w:val="21"/>
                      <w:lang w:val="en-US" w:eastAsia="zh-CN"/>
                    </w:rPr>
                    <w:t>冬季用于农田冬灌</w:t>
                  </w:r>
                  <w:r>
                    <w:rPr>
                      <w:rFonts w:hint="default" w:ascii="Times New Roman" w:hAnsi="Times New Roman" w:eastAsia="宋体" w:cs="Times New Roman"/>
                      <w:sz w:val="21"/>
                      <w:szCs w:val="21"/>
                    </w:rPr>
                    <w:t>。</w:t>
                  </w:r>
                </w:p>
              </w:tc>
              <w:tc>
                <w:tcPr>
                  <w:tcW w:w="0" w:type="auto"/>
                  <w:noWrap w:val="0"/>
                  <w:vAlign w:val="center"/>
                </w:tcPr>
                <w:p>
                  <w:pPr>
                    <w:keepNext w:val="0"/>
                    <w:keepLines w:val="0"/>
                    <w:pageBreakBefore w:val="0"/>
                    <w:widowControl/>
                    <w:kinsoku w:val="0"/>
                    <w:wordWrap/>
                    <w:overflowPunct w:val="0"/>
                    <w:topLinePunct w:val="0"/>
                    <w:bidi w:val="0"/>
                    <w:snapToGrid w:val="0"/>
                    <w:spacing w:before="0" w:after="0" w:line="240" w:lineRule="auto"/>
                    <w:ind w:right="0" w:rightChars="0" w:firstLine="0" w:firstLineChars="0"/>
                    <w:jc w:val="center"/>
                    <w:textAlignment w:val="auto"/>
                    <w:rPr>
                      <w:rFonts w:hint="default" w:ascii="Times New Roman" w:hAnsi="Times New Roman" w:eastAsia="宋体" w:cs="Times New Roman"/>
                      <w:bCs/>
                      <w:color w:val="auto"/>
                      <w:kern w:val="44"/>
                      <w:sz w:val="21"/>
                      <w:szCs w:val="21"/>
                      <w:highlight w:val="none"/>
                      <w:lang w:val="en-US" w:eastAsia="zh-CN"/>
                    </w:rPr>
                  </w:pPr>
                  <w:r>
                    <w:rPr>
                      <w:rFonts w:hint="default" w:ascii="Times New Roman" w:hAnsi="Times New Roman" w:eastAsia="宋体" w:cs="Times New Roman"/>
                      <w:bCs/>
                      <w:color w:val="auto"/>
                      <w:kern w:val="44"/>
                      <w:sz w:val="21"/>
                      <w:szCs w:val="21"/>
                      <w:highlight w:val="none"/>
                      <w:lang w:val="en-US" w:eastAsia="zh-CN"/>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0" w:type="auto"/>
                  <w:vMerge w:val="continue"/>
                  <w:noWrap w:val="0"/>
                  <w:vAlign w:val="center"/>
                </w:tcPr>
                <w:p>
                  <w:pPr>
                    <w:pStyle w:val="35"/>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color w:val="auto"/>
                      <w:sz w:val="21"/>
                      <w:szCs w:val="21"/>
                      <w:highlight w:val="none"/>
                    </w:rPr>
                  </w:pPr>
                </w:p>
              </w:tc>
              <w:tc>
                <w:tcPr>
                  <w:tcW w:w="700" w:type="dxa"/>
                  <w:noWrap w:val="0"/>
                  <w:vAlign w:val="center"/>
                </w:tcPr>
                <w:p>
                  <w:pPr>
                    <w:keepNext w:val="0"/>
                    <w:keepLines w:val="0"/>
                    <w:pageBreakBefore w:val="0"/>
                    <w:kinsoku w:val="0"/>
                    <w:wordWrap/>
                    <w:overflowPunct w:val="0"/>
                    <w:topLinePunct w:val="0"/>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噪声</w:t>
                  </w:r>
                </w:p>
              </w:tc>
              <w:tc>
                <w:tcPr>
                  <w:tcW w:w="6629" w:type="dxa"/>
                  <w:noWrap w:val="0"/>
                  <w:vAlign w:val="center"/>
                </w:tcPr>
                <w:p>
                  <w:pPr>
                    <w:keepNext w:val="0"/>
                    <w:keepLines w:val="0"/>
                    <w:pageBreakBefore w:val="0"/>
                    <w:kinsoku w:val="0"/>
                    <w:wordWrap/>
                    <w:overflowPunct w:val="0"/>
                    <w:topLinePunct w:val="0"/>
                    <w:bidi w:val="0"/>
                    <w:spacing w:before="0" w:after="0" w:line="240" w:lineRule="auto"/>
                    <w:ind w:right="0" w:rightChars="0"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sz w:val="21"/>
                      <w:szCs w:val="21"/>
                      <w:lang w:val="en-US" w:eastAsia="zh-CN"/>
                    </w:rPr>
                    <w:t>施工期：</w:t>
                  </w:r>
                  <w:r>
                    <w:rPr>
                      <w:rFonts w:hint="default" w:ascii="Times New Roman" w:hAnsi="Times New Roman" w:eastAsia="宋体" w:cs="Times New Roman"/>
                      <w:color w:val="auto"/>
                      <w:sz w:val="21"/>
                      <w:szCs w:val="21"/>
                      <w:highlight w:val="none"/>
                    </w:rPr>
                    <w:t>选用低噪声设备；增加基础减震</w:t>
                  </w:r>
                  <w:r>
                    <w:rPr>
                      <w:rFonts w:hint="default" w:ascii="Times New Roman" w:hAnsi="Times New Roman" w:eastAsia="宋体" w:cs="Times New Roman"/>
                      <w:color w:val="auto"/>
                      <w:sz w:val="21"/>
                      <w:szCs w:val="21"/>
                      <w:highlight w:val="none"/>
                      <w:lang w:val="en-US" w:eastAsia="zh-CN"/>
                    </w:rPr>
                    <w:t>措施</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设置围挡；</w:t>
                  </w:r>
                  <w:r>
                    <w:rPr>
                      <w:rFonts w:hint="default" w:ascii="Times New Roman" w:hAnsi="Times New Roman" w:eastAsia="宋体" w:cs="Times New Roman"/>
                      <w:color w:val="auto"/>
                      <w:sz w:val="21"/>
                      <w:szCs w:val="21"/>
                      <w:highlight w:val="none"/>
                      <w:lang w:eastAsia="zh-CN"/>
                    </w:rPr>
                    <w:t>加强管理，定期检修</w:t>
                  </w:r>
                  <w:r>
                    <w:rPr>
                      <w:rFonts w:hint="default" w:ascii="Times New Roman" w:hAnsi="Times New Roman" w:eastAsia="宋体"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eastAsia="zh-CN"/>
                    </w:rPr>
                    <w:t>设备</w:t>
                  </w:r>
                  <w:r>
                    <w:rPr>
                      <w:rFonts w:hint="default" w:ascii="Times New Roman" w:hAnsi="Times New Roman" w:eastAsia="宋体" w:cs="Times New Roman"/>
                      <w:color w:val="auto"/>
                      <w:sz w:val="21"/>
                      <w:szCs w:val="21"/>
                      <w:highlight w:val="none"/>
                      <w:lang w:val="en-US" w:eastAsia="zh-CN"/>
                    </w:rPr>
                    <w:t>及车辆</w:t>
                  </w:r>
                  <w:r>
                    <w:rPr>
                      <w:rFonts w:hint="default" w:ascii="Times New Roman" w:hAnsi="Times New Roman" w:eastAsia="宋体" w:cs="Times New Roman"/>
                      <w:color w:val="auto"/>
                      <w:sz w:val="21"/>
                      <w:szCs w:val="21"/>
                      <w:highlight w:val="none"/>
                      <w:lang w:eastAsia="zh-CN"/>
                    </w:rPr>
                    <w:t>。</w:t>
                  </w:r>
                </w:p>
                <w:p>
                  <w:pPr>
                    <w:keepNext w:val="0"/>
                    <w:keepLines w:val="0"/>
                    <w:pageBreakBefore w:val="0"/>
                    <w:kinsoku w:val="0"/>
                    <w:wordWrap/>
                    <w:overflowPunct w:val="0"/>
                    <w:topLinePunct w:val="0"/>
                    <w:bidi w:val="0"/>
                    <w:spacing w:before="0" w:after="0" w:line="240" w:lineRule="auto"/>
                    <w:ind w:right="0" w:rightChars="0" w:firstLine="0" w:firstLineChars="0"/>
                    <w:jc w:val="left"/>
                    <w:textAlignment w:val="auto"/>
                    <w:rPr>
                      <w:rFonts w:hint="eastAsia" w:ascii="Times New Roman" w:hAnsi="Times New Roman" w:eastAsia="宋体" w:cs="Times New Roman"/>
                      <w:bCs/>
                      <w:color w:val="auto"/>
                      <w:kern w:val="44"/>
                      <w:sz w:val="21"/>
                      <w:szCs w:val="21"/>
                      <w:highlight w:val="none"/>
                      <w:lang w:eastAsia="zh-CN"/>
                    </w:rPr>
                  </w:pPr>
                  <w:r>
                    <w:rPr>
                      <w:rFonts w:hint="default" w:ascii="Times New Roman" w:hAnsi="Times New Roman" w:eastAsia="宋体" w:cs="Times New Roman"/>
                      <w:sz w:val="21"/>
                      <w:szCs w:val="21"/>
                      <w:lang w:eastAsia="zh-CN"/>
                    </w:rPr>
                    <w:t>运营期：</w:t>
                  </w:r>
                  <w:r>
                    <w:rPr>
                      <w:rFonts w:hint="default" w:ascii="Times New Roman" w:hAnsi="Times New Roman" w:eastAsia="宋体" w:cs="Times New Roman"/>
                      <w:sz w:val="21"/>
                      <w:szCs w:val="21"/>
                    </w:rPr>
                    <w:t>污水处理站各池体属于地埋式，产生噪声的设备均埋在地下，通过选用低噪声设备，设备基础减振，合理安排各设备的位置、污水处理站厂区四周进行绿化隔离等措施</w:t>
                  </w:r>
                  <w:r>
                    <w:rPr>
                      <w:rFonts w:hint="eastAsia" w:cs="Times New Roman"/>
                      <w:sz w:val="21"/>
                      <w:szCs w:val="21"/>
                      <w:lang w:eastAsia="zh-CN"/>
                    </w:rPr>
                    <w:t>。</w:t>
                  </w:r>
                </w:p>
              </w:tc>
              <w:tc>
                <w:tcPr>
                  <w:tcW w:w="0" w:type="auto"/>
                  <w:noWrap w:val="0"/>
                  <w:vAlign w:val="center"/>
                </w:tcPr>
                <w:p>
                  <w:pPr>
                    <w:keepNext w:val="0"/>
                    <w:keepLines w:val="0"/>
                    <w:pageBreakBefore w:val="0"/>
                    <w:kinsoku w:val="0"/>
                    <w:wordWrap/>
                    <w:overflowPunct w:val="0"/>
                    <w:topLinePunct w:val="0"/>
                    <w:bidi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0" w:type="auto"/>
                  <w:vMerge w:val="continue"/>
                  <w:noWrap w:val="0"/>
                  <w:vAlign w:val="center"/>
                </w:tcPr>
                <w:p>
                  <w:pPr>
                    <w:pStyle w:val="35"/>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color w:val="auto"/>
                      <w:sz w:val="21"/>
                      <w:szCs w:val="21"/>
                      <w:highlight w:val="none"/>
                    </w:rPr>
                  </w:pPr>
                </w:p>
              </w:tc>
              <w:tc>
                <w:tcPr>
                  <w:tcW w:w="700" w:type="dxa"/>
                  <w:noWrap w:val="0"/>
                  <w:vAlign w:val="center"/>
                </w:tcPr>
                <w:p>
                  <w:pPr>
                    <w:keepNext w:val="0"/>
                    <w:keepLines w:val="0"/>
                    <w:pageBreakBefore w:val="0"/>
                    <w:kinsoku w:val="0"/>
                    <w:wordWrap/>
                    <w:overflowPunct w:val="0"/>
                    <w:topLinePunct w:val="0"/>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固体废物</w:t>
                  </w:r>
                </w:p>
              </w:tc>
              <w:tc>
                <w:tcPr>
                  <w:tcW w:w="6629" w:type="dxa"/>
                  <w:noWrap w:val="0"/>
                  <w:vAlign w:val="center"/>
                </w:tcPr>
                <w:p>
                  <w:pPr>
                    <w:pStyle w:val="36"/>
                    <w:keepNext w:val="0"/>
                    <w:keepLines w:val="0"/>
                    <w:pageBreakBefore w:val="0"/>
                    <w:kinsoku w:val="0"/>
                    <w:wordWrap/>
                    <w:overflowPunct w:val="0"/>
                    <w:topLinePunct w:val="0"/>
                    <w:bidi w:val="0"/>
                    <w:spacing w:before="0" w:beforeLines="0" w:after="0" w:afterLines="0" w:line="240" w:lineRule="auto"/>
                    <w:ind w:right="0" w:rightChars="0"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施工期：</w:t>
                  </w:r>
                  <w:r>
                    <w:rPr>
                      <w:rFonts w:hint="default" w:ascii="Times New Roman" w:hAnsi="Times New Roman" w:eastAsia="宋体" w:cs="Times New Roman"/>
                      <w:color w:val="auto"/>
                      <w:sz w:val="21"/>
                      <w:szCs w:val="21"/>
                      <w:lang w:val="en-US" w:eastAsia="zh-CN"/>
                    </w:rPr>
                    <w:t>建筑垃圾由</w:t>
                  </w:r>
                  <w:r>
                    <w:rPr>
                      <w:rFonts w:hint="default" w:ascii="Times New Roman" w:hAnsi="Times New Roman" w:eastAsia="宋体" w:cs="Times New Roman"/>
                      <w:color w:val="auto"/>
                      <w:sz w:val="21"/>
                      <w:szCs w:val="21"/>
                    </w:rPr>
                    <w:t>专人随时清理、外运</w:t>
                  </w:r>
                  <w:r>
                    <w:rPr>
                      <w:rFonts w:hint="default" w:ascii="Times New Roman" w:hAnsi="Times New Roman" w:eastAsia="宋体" w:cs="Times New Roman"/>
                      <w:color w:val="auto"/>
                      <w:sz w:val="21"/>
                      <w:szCs w:val="21"/>
                      <w:lang w:val="en-US" w:eastAsia="zh-CN"/>
                    </w:rPr>
                    <w:t>至环卫部门指定地点；</w:t>
                  </w:r>
                </w:p>
                <w:p>
                  <w:pPr>
                    <w:pStyle w:val="36"/>
                    <w:keepNext w:val="0"/>
                    <w:keepLines w:val="0"/>
                    <w:pageBreakBefore w:val="0"/>
                    <w:kinsoku w:val="0"/>
                    <w:wordWrap/>
                    <w:overflowPunct w:val="0"/>
                    <w:topLinePunct w:val="0"/>
                    <w:bidi w:val="0"/>
                    <w:spacing w:before="0" w:beforeLines="0" w:after="0" w:afterLines="0" w:line="240" w:lineRule="auto"/>
                    <w:ind w:right="0" w:rightChars="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沉淀池泥沙用于回填；生活垃圾</w:t>
                  </w:r>
                  <w:r>
                    <w:rPr>
                      <w:rFonts w:hint="default" w:ascii="Times New Roman" w:hAnsi="Times New Roman" w:eastAsia="宋体" w:cs="Times New Roman"/>
                      <w:color w:val="auto"/>
                      <w:sz w:val="21"/>
                      <w:szCs w:val="21"/>
                    </w:rPr>
                    <w:t>集中收集，送当地有关部门指定地点统一处理。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运营期：</w:t>
                  </w:r>
                  <w:r>
                    <w:rPr>
                      <w:rFonts w:hint="default" w:ascii="Times New Roman" w:hAnsi="Times New Roman" w:eastAsia="宋体" w:cs="Times New Roman"/>
                      <w:sz w:val="21"/>
                      <w:szCs w:val="21"/>
                    </w:rPr>
                    <w:t>⑴格栅渣</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一般固体废物代码999-999-99</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定期收集，集中送区域环卫部门指定垃圾收集点；</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 w:val="21"/>
                      <w:szCs w:val="21"/>
                    </w:rPr>
                    <w:t>⑵污水处理站产生污泥</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一般固体废物代码462-001-62</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，定期由吸粪车抽吸外运，外运至指定地点处理。</w:t>
                  </w:r>
                </w:p>
              </w:tc>
              <w:tc>
                <w:tcPr>
                  <w:tcW w:w="0" w:type="auto"/>
                  <w:noWrap w:val="0"/>
                  <w:vAlign w:val="center"/>
                </w:tcPr>
                <w:p>
                  <w:pPr>
                    <w:pStyle w:val="37"/>
                    <w:keepNext w:val="0"/>
                    <w:keepLines w:val="0"/>
                    <w:pageBreakBefore w:val="0"/>
                    <w:kinsoku w:val="0"/>
                    <w:wordWrap/>
                    <w:overflowPunct w:val="0"/>
                    <w:topLinePunct w:val="0"/>
                    <w:bidi w:val="0"/>
                    <w:snapToGrid w:val="0"/>
                    <w:spacing w:before="0" w:beforeLines="0" w:after="0" w:afterLines="0" w:line="240" w:lineRule="auto"/>
                    <w:ind w:right="0" w:rightChars="0"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0" w:type="auto"/>
                  <w:vMerge w:val="continue"/>
                  <w:noWrap w:val="0"/>
                  <w:vAlign w:val="center"/>
                </w:tcPr>
                <w:p>
                  <w:pPr>
                    <w:pStyle w:val="35"/>
                    <w:keepNext w:val="0"/>
                    <w:keepLines w:val="0"/>
                    <w:pageBreakBefore w:val="0"/>
                    <w:kinsoku w:val="0"/>
                    <w:wordWrap/>
                    <w:overflowPunct w:val="0"/>
                    <w:topLinePunct w:val="0"/>
                    <w:bidi w:val="0"/>
                    <w:spacing w:before="0" w:after="0" w:line="240" w:lineRule="auto"/>
                    <w:ind w:right="0" w:rightChars="0" w:firstLine="0" w:firstLineChars="0"/>
                    <w:textAlignment w:val="auto"/>
                    <w:rPr>
                      <w:rFonts w:hint="default" w:ascii="Times New Roman" w:hAnsi="Times New Roman" w:eastAsia="宋体" w:cs="Times New Roman"/>
                      <w:color w:val="auto"/>
                      <w:sz w:val="21"/>
                      <w:szCs w:val="21"/>
                      <w:highlight w:val="none"/>
                    </w:rPr>
                  </w:pPr>
                </w:p>
              </w:tc>
              <w:tc>
                <w:tcPr>
                  <w:tcW w:w="700" w:type="dxa"/>
                  <w:noWrap w:val="0"/>
                  <w:vAlign w:val="center"/>
                </w:tcPr>
                <w:p>
                  <w:pPr>
                    <w:keepNext w:val="0"/>
                    <w:keepLines w:val="0"/>
                    <w:pageBreakBefore w:val="0"/>
                    <w:kinsoku w:val="0"/>
                    <w:wordWrap/>
                    <w:overflowPunct w:val="0"/>
                    <w:topLinePunct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sz w:val="21"/>
                      <w:szCs w:val="21"/>
                      <w:highlight w:val="none"/>
                      <w:lang w:eastAsia="zh-CN"/>
                    </w:rPr>
                    <w:t>生态</w:t>
                  </w:r>
                </w:p>
              </w:tc>
              <w:tc>
                <w:tcPr>
                  <w:tcW w:w="6629" w:type="dxa"/>
                  <w:noWrap w:val="0"/>
                  <w:vAlign w:val="center"/>
                </w:tcPr>
                <w:p>
                  <w:pPr>
                    <w:pStyle w:val="38"/>
                    <w:keepNext w:val="0"/>
                    <w:keepLines w:val="0"/>
                    <w:pageBreakBefore w:val="0"/>
                    <w:widowControl w:val="0"/>
                    <w:numPr>
                      <w:ilvl w:val="0"/>
                      <w:numId w:val="0"/>
                    </w:numPr>
                    <w:kinsoku w:val="0"/>
                    <w:wordWrap/>
                    <w:overflowPunct w:val="0"/>
                    <w:topLinePunct w:val="0"/>
                    <w:autoSpaceDE/>
                    <w:autoSpaceDN/>
                    <w:bidi w:val="0"/>
                    <w:adjustRightInd/>
                    <w:snapToGrid/>
                    <w:spacing w:before="0" w:after="0" w:line="240" w:lineRule="auto"/>
                    <w:ind w:right="0" w:rightChars="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施工期：</w:t>
                  </w:r>
                  <w:r>
                    <w:rPr>
                      <w:rFonts w:hint="default" w:ascii="Times New Roman" w:hAnsi="Times New Roman" w:eastAsia="宋体" w:cs="Times New Roman"/>
                      <w:color w:val="auto"/>
                      <w:sz w:val="21"/>
                      <w:szCs w:val="21"/>
                      <w:lang w:val="en-US" w:eastAsia="zh-CN"/>
                    </w:rPr>
                    <w:t>1.对水土保护</w:t>
                  </w:r>
                </w:p>
                <w:p>
                  <w:pPr>
                    <w:keepNext w:val="0"/>
                    <w:keepLines w:val="0"/>
                    <w:pageBreakBefore w:val="0"/>
                    <w:widowControl w:val="0"/>
                    <w:numPr>
                      <w:ilvl w:val="0"/>
                      <w:numId w:val="0"/>
                    </w:numPr>
                    <w:kinsoku w:val="0"/>
                    <w:wordWrap/>
                    <w:overflowPunct w:val="0"/>
                    <w:topLinePunct w:val="0"/>
                    <w:autoSpaceDE/>
                    <w:autoSpaceDN/>
                    <w:bidi w:val="0"/>
                    <w:adjustRightInd/>
                    <w:snapToGrid/>
                    <w:spacing w:before="0" w:after="0" w:line="240" w:lineRule="auto"/>
                    <w:ind w:right="0" w:rightChars="0"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⑴临时堆存区防护措施：施工过程中设临时堆存区用于堆放需要回用的开挖土方及废弃土渣，沿临时堆存区边界设置装土编织拦挡，防治降水将临时土堆冲刷出区外，堆存区与导流沟相邻，加强排水，同时注意对临时堆土</w:t>
                  </w:r>
                  <w:r>
                    <w:rPr>
                      <w:rFonts w:hint="default" w:ascii="Times New Roman" w:hAnsi="Times New Roman" w:eastAsia="宋体" w:cs="Times New Roman"/>
                      <w:color w:val="auto"/>
                      <w:sz w:val="21"/>
                      <w:szCs w:val="21"/>
                    </w:rPr>
                    <w:t>采用苫布遮盖</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施工结束后</w:t>
                  </w:r>
                  <w:r>
                    <w:rPr>
                      <w:rFonts w:hint="default" w:ascii="Times New Roman" w:hAnsi="Times New Roman" w:eastAsia="宋体" w:cs="Times New Roman"/>
                      <w:color w:val="auto"/>
                      <w:sz w:val="21"/>
                      <w:szCs w:val="21"/>
                      <w:lang w:eastAsia="zh-CN"/>
                    </w:rPr>
                    <w:t>将</w:t>
                  </w:r>
                  <w:r>
                    <w:rPr>
                      <w:rFonts w:hint="default" w:ascii="Times New Roman" w:hAnsi="Times New Roman" w:eastAsia="宋体" w:cs="Times New Roman"/>
                      <w:color w:val="auto"/>
                      <w:sz w:val="21"/>
                      <w:szCs w:val="21"/>
                      <w:lang w:val="en-US" w:eastAsia="zh-CN"/>
                    </w:rPr>
                    <w:t>临时堆存区</w:t>
                  </w:r>
                  <w:r>
                    <w:rPr>
                      <w:rFonts w:hint="default" w:ascii="Times New Roman" w:hAnsi="Times New Roman" w:eastAsia="宋体" w:cs="Times New Roman"/>
                      <w:color w:val="auto"/>
                      <w:sz w:val="21"/>
                      <w:szCs w:val="21"/>
                      <w:lang w:eastAsia="zh-CN"/>
                    </w:rPr>
                    <w:t>平整土地，恢复原有植被状态。</w:t>
                  </w:r>
                </w:p>
                <w:p>
                  <w:pPr>
                    <w:pStyle w:val="36"/>
                    <w:keepNext w:val="0"/>
                    <w:keepLines w:val="0"/>
                    <w:pageBreakBefore w:val="0"/>
                    <w:kinsoku w:val="0"/>
                    <w:wordWrap/>
                    <w:overflowPunct w:val="0"/>
                    <w:topLinePunct w:val="0"/>
                    <w:bidi w:val="0"/>
                    <w:spacing w:before="0" w:beforeLines="0" w:after="0" w:afterLines="0" w:line="240" w:lineRule="auto"/>
                    <w:ind w:right="0" w:rightChars="0"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⑵为减少对周边区域的干涉，保证人员安全，在无法避开雨季施工的情况下，应注意对施工区重点流失位置进行加强防护，避免大面积流失。</w:t>
                  </w:r>
                </w:p>
                <w:p>
                  <w:pPr>
                    <w:pStyle w:val="36"/>
                    <w:keepNext w:val="0"/>
                    <w:keepLines w:val="0"/>
                    <w:pageBreakBefore w:val="0"/>
                    <w:kinsoku w:val="0"/>
                    <w:wordWrap/>
                    <w:overflowPunct w:val="0"/>
                    <w:topLinePunct w:val="0"/>
                    <w:bidi w:val="0"/>
                    <w:spacing w:before="0" w:beforeLines="0" w:after="0" w:afterLines="0" w:line="240" w:lineRule="auto"/>
                    <w:ind w:right="0" w:rightChars="0" w:firstLine="0" w:firstLineChars="0"/>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⑶</w:t>
                  </w:r>
                  <w:r>
                    <w:rPr>
                      <w:rFonts w:hint="default" w:ascii="Times New Roman" w:hAnsi="Times New Roman" w:eastAsia="宋体" w:cs="Times New Roman"/>
                      <w:color w:val="auto"/>
                      <w:sz w:val="21"/>
                      <w:szCs w:val="21"/>
                    </w:rPr>
                    <w:t>施工物料堆放</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工具设备临时放置选择植被少的区域</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最大限度的减少施工占地，施工期避开雨季，雨天不施工，物料堆放采用苫布遮盖，施工结束后施工场地、施工道路及时恢复植被</w:t>
                  </w:r>
                  <w:r>
                    <w:rPr>
                      <w:rFonts w:hint="default" w:ascii="Times New Roman" w:hAnsi="Times New Roman" w:eastAsia="宋体" w:cs="Times New Roman"/>
                      <w:color w:val="auto"/>
                      <w:sz w:val="21"/>
                      <w:szCs w:val="21"/>
                      <w:lang w:eastAsia="zh-CN"/>
                    </w:rPr>
                    <w:t>。</w:t>
                  </w:r>
                </w:p>
                <w:p>
                  <w:pPr>
                    <w:pStyle w:val="36"/>
                    <w:keepNext w:val="0"/>
                    <w:keepLines w:val="0"/>
                    <w:pageBreakBefore w:val="0"/>
                    <w:kinsoku w:val="0"/>
                    <w:wordWrap/>
                    <w:overflowPunct w:val="0"/>
                    <w:topLinePunct w:val="0"/>
                    <w:bidi w:val="0"/>
                    <w:spacing w:before="0" w:beforeLines="0" w:after="0" w:afterLines="0" w:line="240" w:lineRule="auto"/>
                    <w:ind w:right="0" w:rightChars="0"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⑷做好施工规划，协调好各施工步骤，对施工人员进行安全意识、生态保护教育，注重水土保持重要性，做到施工期人人负责，待施工结束后能尽快恢复地表及绿化。</w:t>
                  </w:r>
                </w:p>
                <w:p>
                  <w:pPr>
                    <w:pStyle w:val="36"/>
                    <w:keepNext w:val="0"/>
                    <w:keepLines w:val="0"/>
                    <w:pageBreakBefore w:val="0"/>
                    <w:kinsoku w:val="0"/>
                    <w:wordWrap/>
                    <w:overflowPunct w:val="0"/>
                    <w:topLinePunct w:val="0"/>
                    <w:bidi w:val="0"/>
                    <w:spacing w:before="0" w:beforeLines="0" w:after="0" w:afterLines="0" w:line="240" w:lineRule="auto"/>
                    <w:ind w:right="0" w:rightChars="0"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2.水生生物和陆生动植物的保护</w:t>
                  </w:r>
                </w:p>
                <w:p>
                  <w:pPr>
                    <w:pStyle w:val="36"/>
                    <w:keepNext w:val="0"/>
                    <w:keepLines w:val="0"/>
                    <w:pageBreakBefore w:val="0"/>
                    <w:kinsoku w:val="0"/>
                    <w:wordWrap/>
                    <w:overflowPunct w:val="0"/>
                    <w:topLinePunct w:val="0"/>
                    <w:bidi w:val="0"/>
                    <w:spacing w:before="0" w:beforeLines="0" w:after="0" w:afterLines="0" w:line="240" w:lineRule="auto"/>
                    <w:ind w:right="0" w:rightChars="0"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⑴</w:t>
                  </w:r>
                  <w:r>
                    <w:rPr>
                      <w:rFonts w:hint="default" w:ascii="Times New Roman" w:hAnsi="Times New Roman" w:eastAsia="宋体" w:cs="Times New Roman"/>
                      <w:color w:val="auto"/>
                      <w:sz w:val="21"/>
                      <w:szCs w:val="21"/>
                    </w:rPr>
                    <w:t>采取降噪、降尘、机械减振</w:t>
                  </w:r>
                  <w:r>
                    <w:rPr>
                      <w:rFonts w:hint="default" w:ascii="Times New Roman" w:hAnsi="Times New Roman" w:eastAsia="宋体" w:cs="Times New Roman"/>
                      <w:color w:val="auto"/>
                      <w:sz w:val="21"/>
                      <w:szCs w:val="21"/>
                      <w:lang w:val="en-US" w:eastAsia="zh-CN"/>
                    </w:rPr>
                    <w:t>等</w:t>
                  </w:r>
                  <w:r>
                    <w:rPr>
                      <w:rFonts w:hint="default" w:ascii="Times New Roman" w:hAnsi="Times New Roman" w:eastAsia="宋体" w:cs="Times New Roman"/>
                      <w:color w:val="auto"/>
                      <w:sz w:val="21"/>
                      <w:szCs w:val="21"/>
                    </w:rPr>
                    <w:t>措施</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减少对各类生物的影响。</w:t>
                  </w:r>
                </w:p>
                <w:p>
                  <w:pPr>
                    <w:pStyle w:val="36"/>
                    <w:keepNext w:val="0"/>
                    <w:keepLines w:val="0"/>
                    <w:pageBreakBefore w:val="0"/>
                    <w:kinsoku w:val="0"/>
                    <w:wordWrap/>
                    <w:overflowPunct w:val="0"/>
                    <w:topLinePunct w:val="0"/>
                    <w:bidi w:val="0"/>
                    <w:spacing w:before="0" w:beforeLines="0" w:after="0" w:afterLines="0" w:line="240" w:lineRule="auto"/>
                    <w:ind w:right="0" w:rightChars="0"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⑵建设湿地，补偿工程施工造成植被损失，完善水体环境。</w:t>
                  </w:r>
                </w:p>
                <w:p>
                  <w:pPr>
                    <w:pStyle w:val="36"/>
                    <w:keepNext w:val="0"/>
                    <w:keepLines w:val="0"/>
                    <w:pageBreakBefore w:val="0"/>
                    <w:kinsoku w:val="0"/>
                    <w:wordWrap/>
                    <w:overflowPunct w:val="0"/>
                    <w:topLinePunct w:val="0"/>
                    <w:bidi w:val="0"/>
                    <w:spacing w:before="0" w:beforeLines="0" w:after="0" w:afterLines="0" w:line="240" w:lineRule="auto"/>
                    <w:ind w:right="0" w:rightChars="0"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3.对社会环境保护</w:t>
                  </w:r>
                </w:p>
                <w:p>
                  <w:pPr>
                    <w:pStyle w:val="36"/>
                    <w:keepNext w:val="0"/>
                    <w:keepLines w:val="0"/>
                    <w:pageBreakBefore w:val="0"/>
                    <w:kinsoku w:val="0"/>
                    <w:wordWrap/>
                    <w:overflowPunct w:val="0"/>
                    <w:topLinePunct w:val="0"/>
                    <w:bidi w:val="0"/>
                    <w:spacing w:before="0" w:beforeLines="0" w:after="0" w:afterLines="0" w:line="240" w:lineRule="auto"/>
                    <w:ind w:right="0" w:rightChars="0"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⑴指定合理的运输路线和时间，尽量避开交通运输高峰时段，缓解施工期对交通带来的拥堵困扰。</w:t>
                  </w:r>
                </w:p>
                <w:p>
                  <w:pPr>
                    <w:pStyle w:val="36"/>
                    <w:keepNext w:val="0"/>
                    <w:keepLines w:val="0"/>
                    <w:pageBreakBefore w:val="0"/>
                    <w:kinsoku w:val="0"/>
                    <w:wordWrap/>
                    <w:overflowPunct w:val="0"/>
                    <w:topLinePunct w:val="0"/>
                    <w:bidi w:val="0"/>
                    <w:spacing w:before="0" w:beforeLines="0" w:after="0" w:afterLines="0" w:line="240" w:lineRule="auto"/>
                    <w:ind w:right="0" w:rightChars="0"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⑵做好驾驶员的职业道德教育，要求其按照规定路线运输，规定地点停车，规定方式装卸物料，并不定期的检查车辆状态。</w:t>
                  </w:r>
                </w:p>
                <w:p>
                  <w:pPr>
                    <w:pStyle w:val="36"/>
                    <w:keepNext w:val="0"/>
                    <w:keepLines w:val="0"/>
                    <w:pageBreakBefore w:val="0"/>
                    <w:kinsoku w:val="0"/>
                    <w:wordWrap/>
                    <w:overflowPunct w:val="0"/>
                    <w:topLinePunct w:val="0"/>
                    <w:bidi w:val="0"/>
                    <w:spacing w:before="0" w:beforeLines="0" w:after="0" w:afterLines="0" w:line="240" w:lineRule="auto"/>
                    <w:ind w:left="0" w:leftChars="0" w:right="0" w:rightChars="0" w:firstLine="0" w:firstLineChars="0"/>
                    <w:jc w:val="left"/>
                    <w:textAlignment w:val="auto"/>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sz w:val="21"/>
                      <w:szCs w:val="21"/>
                      <w:lang w:val="en-US" w:eastAsia="zh-CN"/>
                    </w:rPr>
                    <w:t>⑶要求车辆在施工场地有序作业，减缓行驶速度，禁止鸣笛。</w:t>
                  </w:r>
                </w:p>
              </w:tc>
              <w:tc>
                <w:tcPr>
                  <w:tcW w:w="0" w:type="auto"/>
                  <w:noWrap w:val="0"/>
                  <w:vAlign w:val="center"/>
                </w:tcPr>
                <w:p>
                  <w:pPr>
                    <w:pStyle w:val="37"/>
                    <w:keepNext w:val="0"/>
                    <w:keepLines w:val="0"/>
                    <w:pageBreakBefore w:val="0"/>
                    <w:kinsoku w:val="0"/>
                    <w:wordWrap/>
                    <w:overflowPunct w:val="0"/>
                    <w:topLinePunct w:val="0"/>
                    <w:bidi w:val="0"/>
                    <w:snapToGrid w:val="0"/>
                    <w:spacing w:before="0" w:beforeLines="0" w:after="0" w:afterLines="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新建</w:t>
                  </w:r>
                </w:p>
              </w:tc>
            </w:tr>
          </w:tbl>
          <w:p>
            <w:pPr>
              <w:pStyle w:val="4"/>
              <w:pageBreakBefore w:val="0"/>
              <w:widowControl w:val="0"/>
              <w:kinsoku/>
              <w:wordWrap/>
              <w:overflowPunct/>
              <w:topLinePunct w:val="0"/>
              <w:autoSpaceDE/>
              <w:autoSpaceDN/>
              <w:bidi w:val="0"/>
              <w:adjustRightInd/>
              <w:snapToGrid/>
              <w:spacing w:line="500" w:lineRule="exact"/>
              <w:ind w:leftChars="0" w:firstLine="482" w:firstLineChars="200"/>
              <w:jc w:val="left"/>
              <w:textAlignment w:val="auto"/>
              <w:rPr>
                <w:rStyle w:val="18"/>
                <w:rFonts w:eastAsia="宋体"/>
                <w:b/>
                <w:bCs/>
              </w:rPr>
            </w:pPr>
            <w:r>
              <w:rPr>
                <w:rFonts w:hint="eastAsia"/>
                <w:b/>
                <w:bCs/>
                <w:lang w:val="en-US" w:eastAsia="zh-CN"/>
              </w:rPr>
              <w:t>2、</w:t>
            </w:r>
            <w:r>
              <w:rPr>
                <w:rStyle w:val="18"/>
                <w:rFonts w:hint="eastAsia" w:eastAsia="宋体"/>
                <w:b/>
                <w:bCs/>
              </w:rPr>
              <w:t>建设项目建设内容概述</w:t>
            </w:r>
          </w:p>
          <w:p>
            <w:pPr>
              <w:pStyle w:val="4"/>
              <w:pageBreakBefore w:val="0"/>
              <w:widowControl w:val="0"/>
              <w:numPr>
                <w:ilvl w:val="0"/>
                <w:numId w:val="0"/>
              </w:numPr>
              <w:kinsoku/>
              <w:wordWrap/>
              <w:overflowPunct/>
              <w:topLinePunct w:val="0"/>
              <w:bidi w:val="0"/>
              <w:adjustRightInd/>
              <w:snapToGrid/>
              <w:spacing w:line="500" w:lineRule="exact"/>
              <w:ind w:leftChars="0" w:right="0" w:rightChars="0" w:firstLine="482" w:firstLineChars="200"/>
              <w:jc w:val="left"/>
              <w:textAlignment w:val="auto"/>
              <w:rPr>
                <w:rFonts w:hint="default" w:ascii="Times New Roman" w:hAnsi="Times New Roman" w:cs="Times New Roman"/>
                <w:b/>
                <w:bCs/>
                <w:color w:val="auto"/>
                <w:highlight w:val="none"/>
              </w:rPr>
            </w:pPr>
            <w:bookmarkStart w:id="0" w:name="_Toc11318"/>
            <w:bookmarkStart w:id="1" w:name="_Toc22324450"/>
            <w:r>
              <w:rPr>
                <w:rFonts w:hint="default" w:ascii="Times New Roman" w:hAnsi="Times New Roman" w:cs="Times New Roman"/>
                <w:b/>
                <w:bCs/>
                <w:color w:val="auto"/>
                <w:highlight w:val="none"/>
              </w:rPr>
              <w:t>⑴污水处理站系统配置</w:t>
            </w:r>
            <w:bookmarkEnd w:id="0"/>
            <w:bookmarkEnd w:id="1"/>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line="500" w:lineRule="exact"/>
              <w:ind w:leftChars="0" w:right="0" w:rightChars="0" w:firstLine="480" w:firstLineChars="200"/>
              <w:jc w:val="both"/>
              <w:textAlignment w:val="auto"/>
              <w:outlineLvl w:val="3"/>
              <w:rPr>
                <w:rFonts w:hint="eastAsia"/>
                <w:b w:val="0"/>
                <w:bCs w:val="0"/>
                <w:lang w:eastAsia="zh-CN"/>
              </w:rPr>
            </w:pPr>
            <w:r>
              <w:rPr>
                <w:rFonts w:hint="default" w:ascii="Times New Roman" w:hAnsi="Times New Roman" w:eastAsia="宋体" w:cs="Times New Roman"/>
                <w:b w:val="0"/>
                <w:bCs w:val="0"/>
                <w:color w:val="auto"/>
                <w:sz w:val="24"/>
                <w:szCs w:val="24"/>
                <w:highlight w:val="none"/>
              </w:rPr>
              <w:t>①构建筑物配置</w:t>
            </w:r>
          </w:p>
          <w:p>
            <w:pPr>
              <w:pageBreakBefore w:val="0"/>
              <w:widowControl w:val="0"/>
              <w:kinsoku/>
              <w:wordWrap/>
              <w:overflowPunct/>
              <w:topLinePunct w:val="0"/>
              <w:bidi w:val="0"/>
              <w:adjustRightInd/>
              <w:snapToGrid/>
              <w:spacing w:line="500" w:lineRule="exact"/>
              <w:ind w:leftChars="0" w:firstLine="480" w:firstLineChars="200"/>
              <w:jc w:val="left"/>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本项目主要构建筑物配置情况详见下表。</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eastAsia" w:cs="Times New Roman"/>
                <w:b/>
                <w:color w:val="auto"/>
                <w:sz w:val="21"/>
                <w:szCs w:val="21"/>
                <w:highlight w:val="none"/>
                <w:lang w:val="en-US" w:eastAsia="zh-CN"/>
              </w:rPr>
              <w:t>2-2</w:t>
            </w:r>
            <w:r>
              <w:rPr>
                <w:rFonts w:hint="default" w:ascii="Times New Roman" w:hAnsi="Times New Roman" w:eastAsia="宋体" w:cs="Times New Roman"/>
                <w:b/>
                <w:color w:val="auto"/>
                <w:sz w:val="21"/>
                <w:szCs w:val="21"/>
                <w:highlight w:val="none"/>
              </w:rPr>
              <w:t xml:space="preserve">  主要构建筑物一览表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3696"/>
              <w:gridCol w:w="2704"/>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734"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369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建（构）筑物</w:t>
                  </w:r>
                </w:p>
              </w:tc>
              <w:tc>
                <w:tcPr>
                  <w:tcW w:w="2704"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结构尺寸（长×宽×深）</w:t>
                  </w:r>
                </w:p>
              </w:tc>
              <w:tc>
                <w:tcPr>
                  <w:tcW w:w="1210"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4"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369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格栅渠</w:t>
                  </w:r>
                </w:p>
              </w:tc>
              <w:tc>
                <w:tcPr>
                  <w:tcW w:w="2704"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1.2×0.5×3.0m</w:t>
                  </w:r>
                </w:p>
              </w:tc>
              <w:tc>
                <w:tcPr>
                  <w:tcW w:w="1210"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地下钢混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 w:hRule="atLeast"/>
              </w:trPr>
              <w:tc>
                <w:tcPr>
                  <w:tcW w:w="734"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369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调节池</w:t>
                  </w:r>
                </w:p>
              </w:tc>
              <w:tc>
                <w:tcPr>
                  <w:tcW w:w="2704"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4.0×7.0×3.0m</w:t>
                  </w:r>
                </w:p>
              </w:tc>
              <w:tc>
                <w:tcPr>
                  <w:tcW w:w="1210"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地下钢混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0" w:hRule="atLeast"/>
              </w:trPr>
              <w:tc>
                <w:tcPr>
                  <w:tcW w:w="734"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369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设备基础</w:t>
                  </w:r>
                </w:p>
              </w:tc>
              <w:tc>
                <w:tcPr>
                  <w:tcW w:w="2704"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7.3×3.1×0.35m</w:t>
                  </w:r>
                </w:p>
              </w:tc>
              <w:tc>
                <w:tcPr>
                  <w:tcW w:w="1210"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地下钢混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34"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369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膜池基础</w:t>
                  </w:r>
                </w:p>
              </w:tc>
              <w:tc>
                <w:tcPr>
                  <w:tcW w:w="2704"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5.4×3.6×0.35m</w:t>
                  </w:r>
                </w:p>
              </w:tc>
              <w:tc>
                <w:tcPr>
                  <w:tcW w:w="1210"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地下钢混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34"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sz w:val="21"/>
                      <w:szCs w:val="21"/>
                      <w:highlight w:val="none"/>
                    </w:rPr>
                    <w:t>5</w:t>
                  </w:r>
                </w:p>
              </w:tc>
              <w:tc>
                <w:tcPr>
                  <w:tcW w:w="369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清水池</w:t>
                  </w:r>
                </w:p>
              </w:tc>
              <w:tc>
                <w:tcPr>
                  <w:tcW w:w="2704"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m</w:t>
                  </w:r>
                </w:p>
              </w:tc>
              <w:tc>
                <w:tcPr>
                  <w:tcW w:w="1210"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地下钢混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0" w:hRule="atLeast"/>
              </w:trPr>
              <w:tc>
                <w:tcPr>
                  <w:tcW w:w="734"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sz w:val="21"/>
                      <w:szCs w:val="21"/>
                      <w:highlight w:val="none"/>
                    </w:rPr>
                    <w:t>6</w:t>
                  </w:r>
                </w:p>
              </w:tc>
              <w:tc>
                <w:tcPr>
                  <w:tcW w:w="369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污泥池</w:t>
                  </w:r>
                </w:p>
              </w:tc>
              <w:tc>
                <w:tcPr>
                  <w:tcW w:w="2704"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m</w:t>
                  </w:r>
                </w:p>
              </w:tc>
              <w:tc>
                <w:tcPr>
                  <w:tcW w:w="1210"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地下钢混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734"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rPr>
                    <w:t>7</w:t>
                  </w:r>
                </w:p>
              </w:tc>
              <w:tc>
                <w:tcPr>
                  <w:tcW w:w="369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水力筛基础</w:t>
                  </w:r>
                </w:p>
              </w:tc>
              <w:tc>
                <w:tcPr>
                  <w:tcW w:w="2704"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3.0×1.0×0.25m</w:t>
                  </w:r>
                </w:p>
              </w:tc>
              <w:tc>
                <w:tcPr>
                  <w:tcW w:w="1210"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地下钢混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734"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369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集水池</w:t>
                  </w:r>
                </w:p>
              </w:tc>
              <w:tc>
                <w:tcPr>
                  <w:tcW w:w="2704"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50m</w:t>
                  </w:r>
                  <w:r>
                    <w:rPr>
                      <w:rFonts w:hint="default" w:ascii="Times New Roman" w:hAnsi="Times New Roman" w:eastAsia="宋体" w:cs="Times New Roman"/>
                      <w:color w:val="auto"/>
                      <w:sz w:val="21"/>
                      <w:szCs w:val="21"/>
                      <w:highlight w:val="none"/>
                      <w:vertAlign w:val="superscript"/>
                      <w:lang w:val="en-US" w:eastAsia="zh-CN"/>
                    </w:rPr>
                    <w:t>3</w:t>
                  </w:r>
                </w:p>
              </w:tc>
              <w:tc>
                <w:tcPr>
                  <w:tcW w:w="1210"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矩形钢筋混凝土</w:t>
                  </w:r>
                </w:p>
              </w:tc>
            </w:tr>
          </w:tbl>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line="500" w:lineRule="exact"/>
              <w:ind w:leftChars="0" w:right="0" w:rightChars="0" w:firstLine="480" w:firstLineChars="200"/>
              <w:jc w:val="both"/>
              <w:textAlignment w:val="auto"/>
              <w:outlineLvl w:val="3"/>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②工艺设备配置</w:t>
            </w:r>
          </w:p>
          <w:p>
            <w:pPr>
              <w:keepNext w:val="0"/>
              <w:keepLines w:val="0"/>
              <w:pageBreakBefore w:val="0"/>
              <w:widowControl w:val="0"/>
              <w:kinsoku/>
              <w:wordWrap/>
              <w:overflowPunct/>
              <w:topLinePunct w:val="0"/>
              <w:bidi w:val="0"/>
              <w:adjustRightInd/>
              <w:snapToGrid/>
              <w:spacing w:line="500" w:lineRule="exact"/>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本项目主要工艺设备配置情况详见下表。</w:t>
            </w:r>
          </w:p>
          <w:p>
            <w:pPr>
              <w:autoSpaceDE w:val="0"/>
              <w:autoSpaceDN w:val="0"/>
              <w:adjustRightInd w:val="0"/>
              <w:spacing w:line="36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eastAsia" w:cs="Times New Roman"/>
                <w:b/>
                <w:color w:val="auto"/>
                <w:sz w:val="21"/>
                <w:szCs w:val="21"/>
                <w:highlight w:val="none"/>
                <w:lang w:val="en-US" w:eastAsia="zh-CN"/>
              </w:rPr>
              <w:t>2-3</w:t>
            </w:r>
            <w:r>
              <w:rPr>
                <w:rFonts w:hint="default" w:ascii="Times New Roman" w:hAnsi="Times New Roman" w:eastAsia="宋体" w:cs="Times New Roman"/>
                <w:b/>
                <w:color w:val="auto"/>
                <w:sz w:val="21"/>
                <w:szCs w:val="21"/>
                <w:highlight w:val="none"/>
              </w:rPr>
              <w:t xml:space="preserve">  主要工艺设备一览表</w:t>
            </w:r>
          </w:p>
          <w:tbl>
            <w:tblPr>
              <w:tblStyle w:val="15"/>
              <w:tblW w:w="0" w:type="auto"/>
              <w:tblInd w:w="0" w:type="dxa"/>
              <w:tblLayout w:type="autofit"/>
              <w:tblCellMar>
                <w:top w:w="0" w:type="dxa"/>
                <w:left w:w="0" w:type="dxa"/>
                <w:bottom w:w="0" w:type="dxa"/>
                <w:right w:w="0" w:type="dxa"/>
              </w:tblCellMar>
            </w:tblPr>
            <w:tblGrid>
              <w:gridCol w:w="579"/>
              <w:gridCol w:w="999"/>
              <w:gridCol w:w="1548"/>
              <w:gridCol w:w="3077"/>
              <w:gridCol w:w="1050"/>
              <w:gridCol w:w="525"/>
              <w:gridCol w:w="555"/>
            </w:tblGrid>
            <w:tr>
              <w:tblPrEx>
                <w:tblCellMar>
                  <w:top w:w="0" w:type="dxa"/>
                  <w:left w:w="0" w:type="dxa"/>
                  <w:bottom w:w="0" w:type="dxa"/>
                  <w:right w:w="0" w:type="dxa"/>
                </w:tblCellMar>
              </w:tblPrEx>
              <w:trPr>
                <w:trHeight w:val="23" w:hRule="atLeast"/>
              </w:trPr>
              <w:tc>
                <w:tcPr>
                  <w:tcW w:w="5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rPr>
                    <w:t>序号</w:t>
                  </w:r>
                </w:p>
              </w:tc>
              <w:tc>
                <w:tcPr>
                  <w:tcW w:w="254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rPr>
                    <w:t>设备名称</w:t>
                  </w:r>
                </w:p>
              </w:tc>
              <w:tc>
                <w:tcPr>
                  <w:tcW w:w="3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rPr>
                    <w:t>规格型号</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rPr>
                    <w:t>材质</w:t>
                  </w:r>
                </w:p>
              </w:tc>
              <w:tc>
                <w:tcPr>
                  <w:tcW w:w="5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rPr>
                    <w:t>数量</w:t>
                  </w:r>
                </w:p>
              </w:tc>
              <w:tc>
                <w:tcPr>
                  <w:tcW w:w="5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rPr>
                    <w:t>单位</w:t>
                  </w:r>
                </w:p>
              </w:tc>
            </w:tr>
            <w:tr>
              <w:tblPrEx>
                <w:tblCellMar>
                  <w:top w:w="0" w:type="dxa"/>
                  <w:left w:w="0" w:type="dxa"/>
                  <w:bottom w:w="0" w:type="dxa"/>
                  <w:right w:w="0" w:type="dxa"/>
                </w:tblCellMar>
              </w:tblPrEx>
              <w:trPr>
                <w:trHeight w:val="23" w:hRule="atLeast"/>
              </w:trPr>
              <w:tc>
                <w:tcPr>
                  <w:tcW w:w="5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1</w:t>
                  </w:r>
                </w:p>
              </w:tc>
              <w:tc>
                <w:tcPr>
                  <w:tcW w:w="9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格栅渠</w:t>
                  </w:r>
                </w:p>
              </w:tc>
              <w:tc>
                <w:tcPr>
                  <w:tcW w:w="15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插板格栅</w:t>
                  </w:r>
                </w:p>
              </w:tc>
              <w:tc>
                <w:tcPr>
                  <w:tcW w:w="3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eastAsia" w:cs="Times New Roman"/>
                      <w:color w:val="auto"/>
                      <w:kern w:val="0"/>
                      <w:sz w:val="21"/>
                      <w:szCs w:val="21"/>
                      <w:highlight w:val="none"/>
                      <w:lang w:val="en-US" w:eastAsia="zh-CN"/>
                    </w:rPr>
                    <w:t>1.1</w:t>
                  </w:r>
                  <w:r>
                    <w:rPr>
                      <w:rFonts w:hint="default" w:ascii="Times New Roman" w:hAnsi="Times New Roman" w:eastAsia="宋体" w:cs="Times New Roman"/>
                      <w:color w:val="auto"/>
                      <w:kern w:val="0"/>
                      <w:sz w:val="21"/>
                      <w:szCs w:val="21"/>
                      <w:highlight w:val="none"/>
                    </w:rPr>
                    <w:t>*3.0m，栅隙5mm</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不锈钢</w:t>
                  </w:r>
                </w:p>
              </w:tc>
              <w:tc>
                <w:tcPr>
                  <w:tcW w:w="5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1</w:t>
                  </w:r>
                </w:p>
              </w:tc>
              <w:tc>
                <w:tcPr>
                  <w:tcW w:w="5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套</w:t>
                  </w:r>
                </w:p>
              </w:tc>
            </w:tr>
            <w:tr>
              <w:tblPrEx>
                <w:tblCellMar>
                  <w:top w:w="0" w:type="dxa"/>
                  <w:left w:w="0" w:type="dxa"/>
                  <w:bottom w:w="0" w:type="dxa"/>
                  <w:right w:w="0" w:type="dxa"/>
                </w:tblCellMar>
              </w:tblPrEx>
              <w:trPr>
                <w:trHeight w:val="23" w:hRule="atLeast"/>
              </w:trPr>
              <w:tc>
                <w:tcPr>
                  <w:tcW w:w="5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2</w:t>
                  </w:r>
                </w:p>
              </w:tc>
              <w:tc>
                <w:tcPr>
                  <w:tcW w:w="99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调节池</w:t>
                  </w:r>
                </w:p>
              </w:tc>
              <w:tc>
                <w:tcPr>
                  <w:tcW w:w="15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潜污泵</w:t>
                  </w:r>
                </w:p>
              </w:tc>
              <w:tc>
                <w:tcPr>
                  <w:tcW w:w="3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Q=5m³/h，H=7m，N=0.37kw</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铸铁</w:t>
                  </w:r>
                </w:p>
              </w:tc>
              <w:tc>
                <w:tcPr>
                  <w:tcW w:w="5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2</w:t>
                  </w:r>
                </w:p>
              </w:tc>
              <w:tc>
                <w:tcPr>
                  <w:tcW w:w="5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台</w:t>
                  </w:r>
                </w:p>
              </w:tc>
            </w:tr>
            <w:tr>
              <w:tblPrEx>
                <w:tblCellMar>
                  <w:top w:w="0" w:type="dxa"/>
                  <w:left w:w="0" w:type="dxa"/>
                  <w:bottom w:w="0" w:type="dxa"/>
                  <w:right w:w="0" w:type="dxa"/>
                </w:tblCellMar>
              </w:tblPrEx>
              <w:trPr>
                <w:trHeight w:val="23" w:hRule="atLeast"/>
              </w:trPr>
              <w:tc>
                <w:tcPr>
                  <w:tcW w:w="5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3</w:t>
                  </w:r>
                </w:p>
              </w:tc>
              <w:tc>
                <w:tcPr>
                  <w:tcW w:w="99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auto"/>
                      <w:sz w:val="21"/>
                      <w:szCs w:val="21"/>
                      <w:highlight w:val="none"/>
                    </w:rPr>
                  </w:pPr>
                </w:p>
              </w:tc>
              <w:tc>
                <w:tcPr>
                  <w:tcW w:w="15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静压液位计</w:t>
                  </w:r>
                </w:p>
              </w:tc>
              <w:tc>
                <w:tcPr>
                  <w:tcW w:w="3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量程0-5米，4-20mA输出</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不锈钢</w:t>
                  </w:r>
                </w:p>
              </w:tc>
              <w:tc>
                <w:tcPr>
                  <w:tcW w:w="5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1</w:t>
                  </w:r>
                </w:p>
              </w:tc>
              <w:tc>
                <w:tcPr>
                  <w:tcW w:w="5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台</w:t>
                  </w:r>
                </w:p>
              </w:tc>
            </w:tr>
            <w:tr>
              <w:tblPrEx>
                <w:tblCellMar>
                  <w:top w:w="0" w:type="dxa"/>
                  <w:left w:w="0" w:type="dxa"/>
                  <w:bottom w:w="0" w:type="dxa"/>
                  <w:right w:w="0" w:type="dxa"/>
                </w:tblCellMar>
              </w:tblPrEx>
              <w:trPr>
                <w:trHeight w:val="23" w:hRule="atLeast"/>
              </w:trPr>
              <w:tc>
                <w:tcPr>
                  <w:tcW w:w="8333" w:type="dxa"/>
                  <w:gridSpan w:val="7"/>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eastAsia"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eastAsia="zh-CN"/>
                    </w:rPr>
                    <w:t>一体设备</w:t>
                  </w:r>
                </w:p>
              </w:tc>
            </w:tr>
            <w:tr>
              <w:tblPrEx>
                <w:tblCellMar>
                  <w:top w:w="0" w:type="dxa"/>
                  <w:left w:w="0" w:type="dxa"/>
                  <w:bottom w:w="0" w:type="dxa"/>
                  <w:right w:w="0" w:type="dxa"/>
                </w:tblCellMar>
              </w:tblPrEx>
              <w:trPr>
                <w:trHeight w:val="23" w:hRule="atLeast"/>
              </w:trPr>
              <w:tc>
                <w:tcPr>
                  <w:tcW w:w="5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eastAsia" w:ascii="Times New Roman" w:hAnsi="Times New Roman" w:eastAsia="宋体" w:cs="Times New Roman"/>
                      <w:color w:val="auto"/>
                      <w:sz w:val="21"/>
                      <w:szCs w:val="21"/>
                      <w:highlight w:val="none"/>
                      <w:lang w:eastAsia="zh-CN"/>
                    </w:rPr>
                  </w:pPr>
                  <w:r>
                    <w:rPr>
                      <w:rFonts w:hint="eastAsia" w:cs="Times New Roman"/>
                      <w:color w:val="auto"/>
                      <w:kern w:val="0"/>
                      <w:sz w:val="21"/>
                      <w:szCs w:val="21"/>
                      <w:highlight w:val="none"/>
                      <w:lang w:val="en-US" w:eastAsia="zh-CN"/>
                    </w:rPr>
                    <w:t>4</w:t>
                  </w:r>
                </w:p>
              </w:tc>
              <w:tc>
                <w:tcPr>
                  <w:tcW w:w="9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厌氧池</w:t>
                  </w:r>
                </w:p>
              </w:tc>
              <w:tc>
                <w:tcPr>
                  <w:tcW w:w="15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潜水搅拌器</w:t>
                  </w:r>
                </w:p>
              </w:tc>
              <w:tc>
                <w:tcPr>
                  <w:tcW w:w="3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功率0.37kw，叶轮直径220mm，转速960r/min，带提升及安装系统</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铸铁</w:t>
                  </w:r>
                </w:p>
              </w:tc>
              <w:tc>
                <w:tcPr>
                  <w:tcW w:w="5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1</w:t>
                  </w:r>
                </w:p>
              </w:tc>
              <w:tc>
                <w:tcPr>
                  <w:tcW w:w="5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套</w:t>
                  </w:r>
                </w:p>
              </w:tc>
            </w:tr>
            <w:tr>
              <w:tblPrEx>
                <w:tblCellMar>
                  <w:top w:w="0" w:type="dxa"/>
                  <w:left w:w="0" w:type="dxa"/>
                  <w:bottom w:w="0" w:type="dxa"/>
                  <w:right w:w="0" w:type="dxa"/>
                </w:tblCellMar>
              </w:tblPrEx>
              <w:trPr>
                <w:trHeight w:val="23" w:hRule="atLeast"/>
              </w:trPr>
              <w:tc>
                <w:tcPr>
                  <w:tcW w:w="5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eastAsia" w:ascii="Times New Roman" w:hAnsi="Times New Roman" w:eastAsia="宋体" w:cs="Times New Roman"/>
                      <w:color w:val="auto"/>
                      <w:sz w:val="21"/>
                      <w:szCs w:val="21"/>
                      <w:highlight w:val="none"/>
                      <w:lang w:eastAsia="zh-CN"/>
                    </w:rPr>
                  </w:pPr>
                  <w:r>
                    <w:rPr>
                      <w:rFonts w:hint="eastAsia" w:cs="Times New Roman"/>
                      <w:color w:val="auto"/>
                      <w:kern w:val="0"/>
                      <w:sz w:val="21"/>
                      <w:szCs w:val="21"/>
                      <w:highlight w:val="none"/>
                      <w:lang w:val="en-US" w:eastAsia="zh-CN"/>
                    </w:rPr>
                    <w:t>5</w:t>
                  </w:r>
                </w:p>
              </w:tc>
              <w:tc>
                <w:tcPr>
                  <w:tcW w:w="9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缺氧池</w:t>
                  </w:r>
                </w:p>
              </w:tc>
              <w:tc>
                <w:tcPr>
                  <w:tcW w:w="15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潜水搅拌器</w:t>
                  </w:r>
                </w:p>
              </w:tc>
              <w:tc>
                <w:tcPr>
                  <w:tcW w:w="3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功率0.37kw，叶轮直径220mm，转速960r/min，带提升及安装系统</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铸铁</w:t>
                  </w:r>
                </w:p>
              </w:tc>
              <w:tc>
                <w:tcPr>
                  <w:tcW w:w="5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1</w:t>
                  </w:r>
                </w:p>
              </w:tc>
              <w:tc>
                <w:tcPr>
                  <w:tcW w:w="5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套</w:t>
                  </w:r>
                </w:p>
              </w:tc>
            </w:tr>
            <w:tr>
              <w:tblPrEx>
                <w:tblCellMar>
                  <w:top w:w="0" w:type="dxa"/>
                  <w:left w:w="0" w:type="dxa"/>
                  <w:bottom w:w="0" w:type="dxa"/>
                  <w:right w:w="0" w:type="dxa"/>
                </w:tblCellMar>
              </w:tblPrEx>
              <w:trPr>
                <w:trHeight w:val="23" w:hRule="atLeast"/>
              </w:trPr>
              <w:tc>
                <w:tcPr>
                  <w:tcW w:w="5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jc w:val="center"/>
                    <w:textAlignment w:val="center"/>
                    <w:rPr>
                      <w:rFonts w:hint="eastAsia" w:ascii="Times New Roman" w:hAnsi="Times New Roman" w:eastAsia="宋体" w:cs="Times New Roman"/>
                      <w:color w:val="auto"/>
                      <w:sz w:val="21"/>
                      <w:szCs w:val="21"/>
                      <w:highlight w:val="none"/>
                      <w:lang w:val="zh-CN" w:eastAsia="zh-CN" w:bidi="zh-CN"/>
                    </w:rPr>
                  </w:pPr>
                  <w:r>
                    <w:rPr>
                      <w:rFonts w:hint="eastAsia" w:cs="Times New Roman"/>
                      <w:color w:val="auto"/>
                      <w:kern w:val="0"/>
                      <w:sz w:val="21"/>
                      <w:szCs w:val="21"/>
                      <w:highlight w:val="none"/>
                      <w:lang w:val="en-US" w:eastAsia="zh-CN"/>
                    </w:rPr>
                    <w:t>6</w:t>
                  </w:r>
                </w:p>
              </w:tc>
              <w:tc>
                <w:tcPr>
                  <w:tcW w:w="99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好氧池</w:t>
                  </w:r>
                </w:p>
              </w:tc>
              <w:tc>
                <w:tcPr>
                  <w:tcW w:w="15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静压液位计</w:t>
                  </w:r>
                </w:p>
              </w:tc>
              <w:tc>
                <w:tcPr>
                  <w:tcW w:w="3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量程0-5米，4-20mA输出</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不锈钢</w:t>
                  </w:r>
                </w:p>
              </w:tc>
              <w:tc>
                <w:tcPr>
                  <w:tcW w:w="5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1</w:t>
                  </w:r>
                </w:p>
              </w:tc>
              <w:tc>
                <w:tcPr>
                  <w:tcW w:w="5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台</w:t>
                  </w:r>
                </w:p>
              </w:tc>
            </w:tr>
            <w:tr>
              <w:tblPrEx>
                <w:tblCellMar>
                  <w:top w:w="0" w:type="dxa"/>
                  <w:left w:w="0" w:type="dxa"/>
                  <w:bottom w:w="0" w:type="dxa"/>
                  <w:right w:w="0" w:type="dxa"/>
                </w:tblCellMar>
              </w:tblPrEx>
              <w:trPr>
                <w:trHeight w:val="23" w:hRule="atLeast"/>
              </w:trPr>
              <w:tc>
                <w:tcPr>
                  <w:tcW w:w="5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jc w:val="center"/>
                    <w:textAlignment w:val="center"/>
                    <w:rPr>
                      <w:rFonts w:hint="eastAsia" w:ascii="Times New Roman" w:hAnsi="Times New Roman" w:eastAsia="宋体" w:cs="Times New Roman"/>
                      <w:color w:val="auto"/>
                      <w:sz w:val="21"/>
                      <w:szCs w:val="21"/>
                      <w:highlight w:val="none"/>
                      <w:lang w:val="zh-CN" w:eastAsia="zh-CN" w:bidi="zh-CN"/>
                    </w:rPr>
                  </w:pPr>
                  <w:r>
                    <w:rPr>
                      <w:rFonts w:hint="eastAsia" w:cs="Times New Roman"/>
                      <w:color w:val="auto"/>
                      <w:kern w:val="0"/>
                      <w:sz w:val="21"/>
                      <w:szCs w:val="21"/>
                      <w:highlight w:val="none"/>
                      <w:lang w:val="en-US" w:eastAsia="zh-CN"/>
                    </w:rPr>
                    <w:t>7</w:t>
                  </w:r>
                </w:p>
              </w:tc>
              <w:tc>
                <w:tcPr>
                  <w:tcW w:w="99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auto"/>
                      <w:sz w:val="21"/>
                      <w:szCs w:val="21"/>
                      <w:highlight w:val="none"/>
                    </w:rPr>
                  </w:pPr>
                </w:p>
              </w:tc>
              <w:tc>
                <w:tcPr>
                  <w:tcW w:w="15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硝化液回流泵</w:t>
                  </w:r>
                </w:p>
              </w:tc>
              <w:tc>
                <w:tcPr>
                  <w:tcW w:w="3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Q=5m³/h，H=7m，N=0.37kw</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铸铁</w:t>
                  </w:r>
                </w:p>
              </w:tc>
              <w:tc>
                <w:tcPr>
                  <w:tcW w:w="5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1</w:t>
                  </w:r>
                </w:p>
              </w:tc>
              <w:tc>
                <w:tcPr>
                  <w:tcW w:w="5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台</w:t>
                  </w:r>
                </w:p>
              </w:tc>
            </w:tr>
            <w:tr>
              <w:tblPrEx>
                <w:tblCellMar>
                  <w:top w:w="0" w:type="dxa"/>
                  <w:left w:w="0" w:type="dxa"/>
                  <w:bottom w:w="0" w:type="dxa"/>
                  <w:right w:w="0" w:type="dxa"/>
                </w:tblCellMar>
              </w:tblPrEx>
              <w:trPr>
                <w:trHeight w:val="23" w:hRule="atLeast"/>
              </w:trPr>
              <w:tc>
                <w:tcPr>
                  <w:tcW w:w="5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bidi="zh-CN"/>
                    </w:rPr>
                  </w:pPr>
                  <w:r>
                    <w:rPr>
                      <w:rFonts w:hint="eastAsia" w:cs="Times New Roman"/>
                      <w:color w:val="auto"/>
                      <w:sz w:val="21"/>
                      <w:szCs w:val="21"/>
                      <w:highlight w:val="none"/>
                      <w:lang w:val="en-US" w:eastAsia="zh-CN" w:bidi="zh-CN"/>
                    </w:rPr>
                    <w:t>8</w:t>
                  </w:r>
                </w:p>
              </w:tc>
              <w:tc>
                <w:tcPr>
                  <w:tcW w:w="99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auto"/>
                      <w:sz w:val="21"/>
                      <w:szCs w:val="21"/>
                      <w:highlight w:val="none"/>
                    </w:rPr>
                  </w:pPr>
                </w:p>
              </w:tc>
              <w:tc>
                <w:tcPr>
                  <w:tcW w:w="15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微孔曝气器</w:t>
                  </w:r>
                </w:p>
              </w:tc>
              <w:tc>
                <w:tcPr>
                  <w:tcW w:w="3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Φ215mm</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w:t>
                  </w:r>
                </w:p>
              </w:tc>
              <w:tc>
                <w:tcPr>
                  <w:tcW w:w="5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1</w:t>
                  </w:r>
                </w:p>
              </w:tc>
              <w:tc>
                <w:tcPr>
                  <w:tcW w:w="5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批</w:t>
                  </w:r>
                </w:p>
              </w:tc>
            </w:tr>
            <w:tr>
              <w:tblPrEx>
                <w:tblCellMar>
                  <w:top w:w="0" w:type="dxa"/>
                  <w:left w:w="0" w:type="dxa"/>
                  <w:bottom w:w="0" w:type="dxa"/>
                  <w:right w:w="0" w:type="dxa"/>
                </w:tblCellMar>
              </w:tblPrEx>
              <w:trPr>
                <w:trHeight w:val="23" w:hRule="atLeast"/>
              </w:trPr>
              <w:tc>
                <w:tcPr>
                  <w:tcW w:w="5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kern w:val="0"/>
                      <w:sz w:val="21"/>
                      <w:szCs w:val="21"/>
                      <w:highlight w:val="none"/>
                    </w:rPr>
                    <w:t>9</w:t>
                  </w:r>
                </w:p>
              </w:tc>
              <w:tc>
                <w:tcPr>
                  <w:tcW w:w="99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auto"/>
                      <w:sz w:val="21"/>
                      <w:szCs w:val="21"/>
                      <w:highlight w:val="none"/>
                    </w:rPr>
                  </w:pPr>
                </w:p>
              </w:tc>
              <w:tc>
                <w:tcPr>
                  <w:tcW w:w="15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风机</w:t>
                  </w:r>
                </w:p>
              </w:tc>
              <w:tc>
                <w:tcPr>
                  <w:tcW w:w="3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风量：1.77m³/min，风压0.4kgf/cm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，功率2.2kw</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铸铁</w:t>
                  </w:r>
                </w:p>
              </w:tc>
              <w:tc>
                <w:tcPr>
                  <w:tcW w:w="5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2</w:t>
                  </w:r>
                </w:p>
              </w:tc>
              <w:tc>
                <w:tcPr>
                  <w:tcW w:w="5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台</w:t>
                  </w:r>
                </w:p>
              </w:tc>
            </w:tr>
            <w:tr>
              <w:tblPrEx>
                <w:tblCellMar>
                  <w:top w:w="0" w:type="dxa"/>
                  <w:left w:w="0" w:type="dxa"/>
                  <w:bottom w:w="0" w:type="dxa"/>
                  <w:right w:w="0" w:type="dxa"/>
                </w:tblCellMar>
              </w:tblPrEx>
              <w:trPr>
                <w:trHeight w:val="23" w:hRule="atLeast"/>
              </w:trPr>
              <w:tc>
                <w:tcPr>
                  <w:tcW w:w="5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kern w:val="0"/>
                      <w:sz w:val="21"/>
                      <w:szCs w:val="21"/>
                      <w:highlight w:val="none"/>
                    </w:rPr>
                    <w:t>10</w:t>
                  </w:r>
                </w:p>
              </w:tc>
              <w:tc>
                <w:tcPr>
                  <w:tcW w:w="99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auto"/>
                      <w:sz w:val="21"/>
                      <w:szCs w:val="21"/>
                      <w:highlight w:val="none"/>
                    </w:rPr>
                  </w:pPr>
                </w:p>
              </w:tc>
              <w:tc>
                <w:tcPr>
                  <w:tcW w:w="15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潜污泵（提升）</w:t>
                  </w:r>
                </w:p>
              </w:tc>
              <w:tc>
                <w:tcPr>
                  <w:tcW w:w="3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Q=15m³/h，H=13m，N=1.1kw</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铸铁</w:t>
                  </w:r>
                </w:p>
              </w:tc>
              <w:tc>
                <w:tcPr>
                  <w:tcW w:w="5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2</w:t>
                  </w:r>
                </w:p>
              </w:tc>
              <w:tc>
                <w:tcPr>
                  <w:tcW w:w="5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台</w:t>
                  </w:r>
                </w:p>
              </w:tc>
            </w:tr>
            <w:tr>
              <w:tblPrEx>
                <w:tblCellMar>
                  <w:top w:w="0" w:type="dxa"/>
                  <w:left w:w="0" w:type="dxa"/>
                  <w:bottom w:w="0" w:type="dxa"/>
                  <w:right w:w="0" w:type="dxa"/>
                </w:tblCellMar>
              </w:tblPrEx>
              <w:trPr>
                <w:trHeight w:val="23" w:hRule="atLeast"/>
              </w:trPr>
              <w:tc>
                <w:tcPr>
                  <w:tcW w:w="5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kern w:val="0"/>
                      <w:sz w:val="21"/>
                      <w:szCs w:val="21"/>
                      <w:highlight w:val="none"/>
                    </w:rPr>
                    <w:t>11</w:t>
                  </w:r>
                </w:p>
              </w:tc>
              <w:tc>
                <w:tcPr>
                  <w:tcW w:w="99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auto"/>
                      <w:sz w:val="21"/>
                      <w:szCs w:val="21"/>
                      <w:highlight w:val="none"/>
                    </w:rPr>
                  </w:pPr>
                </w:p>
              </w:tc>
              <w:tc>
                <w:tcPr>
                  <w:tcW w:w="15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一体化罐体</w:t>
                  </w:r>
                </w:p>
              </w:tc>
              <w:tc>
                <w:tcPr>
                  <w:tcW w:w="3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6.7*3*2.5m</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碳钢防腐</w:t>
                  </w:r>
                </w:p>
              </w:tc>
              <w:tc>
                <w:tcPr>
                  <w:tcW w:w="5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1</w:t>
                  </w:r>
                </w:p>
              </w:tc>
              <w:tc>
                <w:tcPr>
                  <w:tcW w:w="5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台</w:t>
                  </w:r>
                </w:p>
              </w:tc>
            </w:tr>
            <w:tr>
              <w:tblPrEx>
                <w:tblCellMar>
                  <w:top w:w="0" w:type="dxa"/>
                  <w:left w:w="0" w:type="dxa"/>
                  <w:bottom w:w="0" w:type="dxa"/>
                  <w:right w:w="0" w:type="dxa"/>
                </w:tblCellMar>
              </w:tblPrEx>
              <w:trPr>
                <w:trHeight w:val="23" w:hRule="atLeast"/>
              </w:trPr>
              <w:tc>
                <w:tcPr>
                  <w:tcW w:w="5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kern w:val="0"/>
                      <w:sz w:val="21"/>
                      <w:szCs w:val="21"/>
                      <w:highlight w:val="none"/>
                    </w:rPr>
                    <w:t>12</w:t>
                  </w:r>
                </w:p>
              </w:tc>
              <w:tc>
                <w:tcPr>
                  <w:tcW w:w="99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膜池</w:t>
                  </w:r>
                </w:p>
              </w:tc>
              <w:tc>
                <w:tcPr>
                  <w:tcW w:w="15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静压液位计</w:t>
                  </w:r>
                </w:p>
              </w:tc>
              <w:tc>
                <w:tcPr>
                  <w:tcW w:w="3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量程0-5米，4-20mA输出</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不锈钢</w:t>
                  </w:r>
                </w:p>
              </w:tc>
              <w:tc>
                <w:tcPr>
                  <w:tcW w:w="5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1</w:t>
                  </w:r>
                </w:p>
              </w:tc>
              <w:tc>
                <w:tcPr>
                  <w:tcW w:w="5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台</w:t>
                  </w:r>
                </w:p>
              </w:tc>
            </w:tr>
            <w:tr>
              <w:tblPrEx>
                <w:tblCellMar>
                  <w:top w:w="0" w:type="dxa"/>
                  <w:left w:w="0" w:type="dxa"/>
                  <w:bottom w:w="0" w:type="dxa"/>
                  <w:right w:w="0" w:type="dxa"/>
                </w:tblCellMar>
              </w:tblPrEx>
              <w:trPr>
                <w:trHeight w:val="23" w:hRule="atLeast"/>
              </w:trPr>
              <w:tc>
                <w:tcPr>
                  <w:tcW w:w="5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kern w:val="0"/>
                      <w:sz w:val="21"/>
                      <w:szCs w:val="21"/>
                      <w:highlight w:val="none"/>
                    </w:rPr>
                    <w:t>13</w:t>
                  </w:r>
                </w:p>
              </w:tc>
              <w:tc>
                <w:tcPr>
                  <w:tcW w:w="99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auto"/>
                      <w:sz w:val="21"/>
                      <w:szCs w:val="21"/>
                      <w:highlight w:val="none"/>
                    </w:rPr>
                  </w:pPr>
                </w:p>
              </w:tc>
              <w:tc>
                <w:tcPr>
                  <w:tcW w:w="15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鸭嘴液位计</w:t>
                  </w:r>
                </w:p>
              </w:tc>
              <w:tc>
                <w:tcPr>
                  <w:tcW w:w="3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2m，DN15</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塑料</w:t>
                  </w:r>
                </w:p>
              </w:tc>
              <w:tc>
                <w:tcPr>
                  <w:tcW w:w="5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2</w:t>
                  </w:r>
                </w:p>
              </w:tc>
              <w:tc>
                <w:tcPr>
                  <w:tcW w:w="5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个</w:t>
                  </w:r>
                </w:p>
              </w:tc>
            </w:tr>
            <w:tr>
              <w:tblPrEx>
                <w:tblCellMar>
                  <w:top w:w="0" w:type="dxa"/>
                  <w:left w:w="0" w:type="dxa"/>
                  <w:bottom w:w="0" w:type="dxa"/>
                  <w:right w:w="0" w:type="dxa"/>
                </w:tblCellMar>
              </w:tblPrEx>
              <w:trPr>
                <w:trHeight w:val="23" w:hRule="atLeast"/>
              </w:trPr>
              <w:tc>
                <w:tcPr>
                  <w:tcW w:w="5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kern w:val="0"/>
                      <w:sz w:val="21"/>
                      <w:szCs w:val="21"/>
                      <w:highlight w:val="none"/>
                    </w:rPr>
                    <w:t>14</w:t>
                  </w:r>
                </w:p>
              </w:tc>
              <w:tc>
                <w:tcPr>
                  <w:tcW w:w="99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auto"/>
                      <w:sz w:val="21"/>
                      <w:szCs w:val="21"/>
                      <w:highlight w:val="none"/>
                    </w:rPr>
                  </w:pPr>
                </w:p>
              </w:tc>
              <w:tc>
                <w:tcPr>
                  <w:tcW w:w="15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膜组件</w:t>
                  </w:r>
                </w:p>
              </w:tc>
              <w:tc>
                <w:tcPr>
                  <w:tcW w:w="3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膜通量：15L/（m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·h），210平米，出水量60m³/d</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PVDF</w:t>
                  </w:r>
                </w:p>
              </w:tc>
              <w:tc>
                <w:tcPr>
                  <w:tcW w:w="5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1</w:t>
                  </w:r>
                </w:p>
              </w:tc>
              <w:tc>
                <w:tcPr>
                  <w:tcW w:w="5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套</w:t>
                  </w:r>
                </w:p>
              </w:tc>
            </w:tr>
            <w:tr>
              <w:tblPrEx>
                <w:tblCellMar>
                  <w:top w:w="0" w:type="dxa"/>
                  <w:left w:w="0" w:type="dxa"/>
                  <w:bottom w:w="0" w:type="dxa"/>
                  <w:right w:w="0" w:type="dxa"/>
                </w:tblCellMar>
              </w:tblPrEx>
              <w:trPr>
                <w:trHeight w:val="23" w:hRule="atLeast"/>
              </w:trPr>
              <w:tc>
                <w:tcPr>
                  <w:tcW w:w="5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kern w:val="0"/>
                      <w:sz w:val="21"/>
                      <w:szCs w:val="21"/>
                      <w:highlight w:val="none"/>
                    </w:rPr>
                    <w:t>15</w:t>
                  </w:r>
                </w:p>
              </w:tc>
              <w:tc>
                <w:tcPr>
                  <w:tcW w:w="99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auto"/>
                      <w:sz w:val="21"/>
                      <w:szCs w:val="21"/>
                      <w:highlight w:val="none"/>
                    </w:rPr>
                  </w:pPr>
                </w:p>
              </w:tc>
              <w:tc>
                <w:tcPr>
                  <w:tcW w:w="15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排泥泵</w:t>
                  </w:r>
                </w:p>
              </w:tc>
              <w:tc>
                <w:tcPr>
                  <w:tcW w:w="3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Q=3m³/h，H=5m，N=0.18kw</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不锈钢</w:t>
                  </w:r>
                </w:p>
              </w:tc>
              <w:tc>
                <w:tcPr>
                  <w:tcW w:w="5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2</w:t>
                  </w:r>
                </w:p>
              </w:tc>
              <w:tc>
                <w:tcPr>
                  <w:tcW w:w="5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台</w:t>
                  </w:r>
                </w:p>
              </w:tc>
            </w:tr>
            <w:tr>
              <w:tblPrEx>
                <w:tblCellMar>
                  <w:top w:w="0" w:type="dxa"/>
                  <w:left w:w="0" w:type="dxa"/>
                  <w:bottom w:w="0" w:type="dxa"/>
                  <w:right w:w="0" w:type="dxa"/>
                </w:tblCellMar>
              </w:tblPrEx>
              <w:trPr>
                <w:trHeight w:val="23" w:hRule="atLeast"/>
              </w:trPr>
              <w:tc>
                <w:tcPr>
                  <w:tcW w:w="5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kern w:val="0"/>
                      <w:sz w:val="21"/>
                      <w:szCs w:val="21"/>
                      <w:highlight w:val="none"/>
                    </w:rPr>
                    <w:t>16</w:t>
                  </w:r>
                </w:p>
              </w:tc>
              <w:tc>
                <w:tcPr>
                  <w:tcW w:w="99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auto"/>
                      <w:sz w:val="21"/>
                      <w:szCs w:val="21"/>
                      <w:highlight w:val="none"/>
                    </w:rPr>
                  </w:pPr>
                </w:p>
              </w:tc>
              <w:tc>
                <w:tcPr>
                  <w:tcW w:w="15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产水泵</w:t>
                  </w:r>
                </w:p>
              </w:tc>
              <w:tc>
                <w:tcPr>
                  <w:tcW w:w="3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Q=3.2m³/h，H=20m，吸程6.5m，N=0.75kw</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铸铁</w:t>
                  </w:r>
                </w:p>
              </w:tc>
              <w:tc>
                <w:tcPr>
                  <w:tcW w:w="5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2</w:t>
                  </w:r>
                </w:p>
              </w:tc>
              <w:tc>
                <w:tcPr>
                  <w:tcW w:w="5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台</w:t>
                  </w:r>
                </w:p>
              </w:tc>
            </w:tr>
            <w:tr>
              <w:tblPrEx>
                <w:tblCellMar>
                  <w:top w:w="0" w:type="dxa"/>
                  <w:left w:w="0" w:type="dxa"/>
                  <w:bottom w:w="0" w:type="dxa"/>
                  <w:right w:w="0" w:type="dxa"/>
                </w:tblCellMar>
              </w:tblPrEx>
              <w:trPr>
                <w:trHeight w:val="23" w:hRule="atLeast"/>
              </w:trPr>
              <w:tc>
                <w:tcPr>
                  <w:tcW w:w="5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kern w:val="0"/>
                      <w:sz w:val="21"/>
                      <w:szCs w:val="21"/>
                      <w:highlight w:val="none"/>
                    </w:rPr>
                    <w:t>17</w:t>
                  </w:r>
                </w:p>
              </w:tc>
              <w:tc>
                <w:tcPr>
                  <w:tcW w:w="99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auto"/>
                      <w:sz w:val="21"/>
                      <w:szCs w:val="21"/>
                      <w:highlight w:val="none"/>
                    </w:rPr>
                  </w:pPr>
                </w:p>
              </w:tc>
              <w:tc>
                <w:tcPr>
                  <w:tcW w:w="15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反洗泵</w:t>
                  </w:r>
                </w:p>
              </w:tc>
              <w:tc>
                <w:tcPr>
                  <w:tcW w:w="3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Q=7m³/h，H=19m，N=0.75kw</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铸铁</w:t>
                  </w:r>
                </w:p>
              </w:tc>
              <w:tc>
                <w:tcPr>
                  <w:tcW w:w="5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1</w:t>
                  </w:r>
                </w:p>
              </w:tc>
              <w:tc>
                <w:tcPr>
                  <w:tcW w:w="5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台</w:t>
                  </w:r>
                </w:p>
              </w:tc>
            </w:tr>
            <w:tr>
              <w:tblPrEx>
                <w:tblCellMar>
                  <w:top w:w="0" w:type="dxa"/>
                  <w:left w:w="0" w:type="dxa"/>
                  <w:bottom w:w="0" w:type="dxa"/>
                  <w:right w:w="0" w:type="dxa"/>
                </w:tblCellMar>
              </w:tblPrEx>
              <w:trPr>
                <w:trHeight w:val="23" w:hRule="atLeast"/>
              </w:trPr>
              <w:tc>
                <w:tcPr>
                  <w:tcW w:w="5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kern w:val="0"/>
                      <w:sz w:val="21"/>
                      <w:szCs w:val="21"/>
                      <w:highlight w:val="none"/>
                    </w:rPr>
                    <w:t>18</w:t>
                  </w:r>
                </w:p>
              </w:tc>
              <w:tc>
                <w:tcPr>
                  <w:tcW w:w="99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auto"/>
                      <w:sz w:val="21"/>
                      <w:szCs w:val="21"/>
                      <w:highlight w:val="none"/>
                    </w:rPr>
                  </w:pPr>
                </w:p>
              </w:tc>
              <w:tc>
                <w:tcPr>
                  <w:tcW w:w="15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精密过滤器</w:t>
                  </w:r>
                </w:p>
              </w:tc>
              <w:tc>
                <w:tcPr>
                  <w:tcW w:w="3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处理量：7m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/h，过滤精度1μm</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外壳不锈钢</w:t>
                  </w:r>
                </w:p>
              </w:tc>
              <w:tc>
                <w:tcPr>
                  <w:tcW w:w="5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1</w:t>
                  </w:r>
                </w:p>
              </w:tc>
              <w:tc>
                <w:tcPr>
                  <w:tcW w:w="5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台</w:t>
                  </w:r>
                </w:p>
              </w:tc>
            </w:tr>
            <w:tr>
              <w:tblPrEx>
                <w:tblCellMar>
                  <w:top w:w="0" w:type="dxa"/>
                  <w:left w:w="0" w:type="dxa"/>
                  <w:bottom w:w="0" w:type="dxa"/>
                  <w:right w:w="0" w:type="dxa"/>
                </w:tblCellMar>
              </w:tblPrEx>
              <w:trPr>
                <w:trHeight w:val="23" w:hRule="atLeast"/>
              </w:trPr>
              <w:tc>
                <w:tcPr>
                  <w:tcW w:w="5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kern w:val="0"/>
                      <w:sz w:val="21"/>
                      <w:szCs w:val="21"/>
                      <w:highlight w:val="none"/>
                    </w:rPr>
                    <w:t>19</w:t>
                  </w:r>
                </w:p>
              </w:tc>
              <w:tc>
                <w:tcPr>
                  <w:tcW w:w="99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auto"/>
                      <w:sz w:val="21"/>
                      <w:szCs w:val="21"/>
                      <w:highlight w:val="none"/>
                    </w:rPr>
                  </w:pPr>
                </w:p>
              </w:tc>
              <w:tc>
                <w:tcPr>
                  <w:tcW w:w="15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膜清洗药箱</w:t>
                  </w:r>
                </w:p>
              </w:tc>
              <w:tc>
                <w:tcPr>
                  <w:tcW w:w="3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300L，N=0.37kw</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PE</w:t>
                  </w:r>
                </w:p>
              </w:tc>
              <w:tc>
                <w:tcPr>
                  <w:tcW w:w="5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1</w:t>
                  </w:r>
                </w:p>
              </w:tc>
              <w:tc>
                <w:tcPr>
                  <w:tcW w:w="5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个</w:t>
                  </w:r>
                </w:p>
              </w:tc>
            </w:tr>
            <w:tr>
              <w:tblPrEx>
                <w:tblCellMar>
                  <w:top w:w="0" w:type="dxa"/>
                  <w:left w:w="0" w:type="dxa"/>
                  <w:bottom w:w="0" w:type="dxa"/>
                  <w:right w:w="0" w:type="dxa"/>
                </w:tblCellMar>
              </w:tblPrEx>
              <w:trPr>
                <w:trHeight w:val="23" w:hRule="atLeast"/>
              </w:trPr>
              <w:tc>
                <w:tcPr>
                  <w:tcW w:w="5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kern w:val="0"/>
                      <w:sz w:val="21"/>
                      <w:szCs w:val="21"/>
                      <w:highlight w:val="none"/>
                    </w:rPr>
                    <w:t>20</w:t>
                  </w:r>
                </w:p>
              </w:tc>
              <w:tc>
                <w:tcPr>
                  <w:tcW w:w="99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auto"/>
                      <w:sz w:val="21"/>
                      <w:szCs w:val="21"/>
                      <w:highlight w:val="none"/>
                    </w:rPr>
                  </w:pPr>
                </w:p>
              </w:tc>
              <w:tc>
                <w:tcPr>
                  <w:tcW w:w="15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除磷加药箱</w:t>
                  </w:r>
                </w:p>
              </w:tc>
              <w:tc>
                <w:tcPr>
                  <w:tcW w:w="3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200L，N=0.37kw</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PE</w:t>
                  </w:r>
                </w:p>
              </w:tc>
              <w:tc>
                <w:tcPr>
                  <w:tcW w:w="5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1</w:t>
                  </w:r>
                </w:p>
              </w:tc>
              <w:tc>
                <w:tcPr>
                  <w:tcW w:w="5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个</w:t>
                  </w:r>
                </w:p>
              </w:tc>
            </w:tr>
            <w:tr>
              <w:tblPrEx>
                <w:tblCellMar>
                  <w:top w:w="0" w:type="dxa"/>
                  <w:left w:w="0" w:type="dxa"/>
                  <w:bottom w:w="0" w:type="dxa"/>
                  <w:right w:w="0" w:type="dxa"/>
                </w:tblCellMar>
              </w:tblPrEx>
              <w:trPr>
                <w:trHeight w:val="23" w:hRule="atLeast"/>
              </w:trPr>
              <w:tc>
                <w:tcPr>
                  <w:tcW w:w="5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kern w:val="0"/>
                      <w:sz w:val="21"/>
                      <w:szCs w:val="21"/>
                      <w:highlight w:val="none"/>
                    </w:rPr>
                    <w:t>21</w:t>
                  </w:r>
                </w:p>
              </w:tc>
              <w:tc>
                <w:tcPr>
                  <w:tcW w:w="99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auto"/>
                      <w:sz w:val="21"/>
                      <w:szCs w:val="21"/>
                      <w:highlight w:val="none"/>
                    </w:rPr>
                  </w:pPr>
                </w:p>
              </w:tc>
              <w:tc>
                <w:tcPr>
                  <w:tcW w:w="15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除磷加药泵</w:t>
                  </w:r>
                </w:p>
              </w:tc>
              <w:tc>
                <w:tcPr>
                  <w:tcW w:w="3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流量0-13L/h，N=0.025kw</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泵头PVC</w:t>
                  </w:r>
                </w:p>
              </w:tc>
              <w:tc>
                <w:tcPr>
                  <w:tcW w:w="5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1</w:t>
                  </w:r>
                </w:p>
              </w:tc>
              <w:tc>
                <w:tcPr>
                  <w:tcW w:w="5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台</w:t>
                  </w:r>
                </w:p>
              </w:tc>
            </w:tr>
            <w:tr>
              <w:tblPrEx>
                <w:tblCellMar>
                  <w:top w:w="0" w:type="dxa"/>
                  <w:left w:w="0" w:type="dxa"/>
                  <w:bottom w:w="0" w:type="dxa"/>
                  <w:right w:w="0" w:type="dxa"/>
                </w:tblCellMar>
              </w:tblPrEx>
              <w:trPr>
                <w:trHeight w:val="23" w:hRule="atLeast"/>
              </w:trPr>
              <w:tc>
                <w:tcPr>
                  <w:tcW w:w="5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kern w:val="0"/>
                      <w:sz w:val="21"/>
                      <w:szCs w:val="21"/>
                      <w:highlight w:val="none"/>
                    </w:rPr>
                    <w:t>22</w:t>
                  </w:r>
                </w:p>
              </w:tc>
              <w:tc>
                <w:tcPr>
                  <w:tcW w:w="99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auto"/>
                      <w:sz w:val="21"/>
                      <w:szCs w:val="21"/>
                      <w:highlight w:val="none"/>
                    </w:rPr>
                  </w:pPr>
                </w:p>
              </w:tc>
              <w:tc>
                <w:tcPr>
                  <w:tcW w:w="15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集装箱膜池</w:t>
                  </w:r>
                </w:p>
              </w:tc>
              <w:tc>
                <w:tcPr>
                  <w:tcW w:w="3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5.3*3*3m</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碳钢防腐</w:t>
                  </w:r>
                </w:p>
              </w:tc>
              <w:tc>
                <w:tcPr>
                  <w:tcW w:w="5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1</w:t>
                  </w:r>
                </w:p>
              </w:tc>
              <w:tc>
                <w:tcPr>
                  <w:tcW w:w="5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台</w:t>
                  </w:r>
                </w:p>
              </w:tc>
            </w:tr>
            <w:tr>
              <w:tblPrEx>
                <w:tblCellMar>
                  <w:top w:w="0" w:type="dxa"/>
                  <w:left w:w="0" w:type="dxa"/>
                  <w:bottom w:w="0" w:type="dxa"/>
                  <w:right w:w="0" w:type="dxa"/>
                </w:tblCellMar>
              </w:tblPrEx>
              <w:trPr>
                <w:trHeight w:val="23" w:hRule="atLeast"/>
              </w:trPr>
              <w:tc>
                <w:tcPr>
                  <w:tcW w:w="5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kern w:val="0"/>
                      <w:sz w:val="21"/>
                      <w:szCs w:val="21"/>
                      <w:highlight w:val="none"/>
                    </w:rPr>
                    <w:t>23</w:t>
                  </w:r>
                </w:p>
              </w:tc>
              <w:tc>
                <w:tcPr>
                  <w:tcW w:w="999"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kern w:val="0"/>
                      <w:sz w:val="21"/>
                      <w:szCs w:val="21"/>
                      <w:highlight w:val="none"/>
                    </w:rPr>
                    <w:t>消毒</w:t>
                  </w:r>
                </w:p>
              </w:tc>
              <w:tc>
                <w:tcPr>
                  <w:tcW w:w="15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kern w:val="0"/>
                      <w:sz w:val="21"/>
                      <w:szCs w:val="21"/>
                      <w:highlight w:val="none"/>
                    </w:rPr>
                    <w:t>紫外线消毒器</w:t>
                  </w:r>
                </w:p>
              </w:tc>
              <w:tc>
                <w:tcPr>
                  <w:tcW w:w="3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zh-CN" w:eastAsia="zh-CN" w:bidi="zh-CN"/>
                    </w:rPr>
                  </w:pPr>
                  <w:r>
                    <w:rPr>
                      <w:rFonts w:hint="eastAsia" w:cs="Times New Roman"/>
                      <w:color w:val="auto"/>
                      <w:kern w:val="0"/>
                      <w:sz w:val="21"/>
                      <w:szCs w:val="21"/>
                      <w:highlight w:val="none"/>
                      <w:lang w:val="en-US" w:eastAsia="zh-CN"/>
                    </w:rPr>
                    <w:t>处理量50t/d</w:t>
                  </w:r>
                  <w:r>
                    <w:rPr>
                      <w:rFonts w:hint="default" w:ascii="Times New Roman" w:hAnsi="Times New Roman" w:eastAsia="宋体" w:cs="Times New Roman"/>
                      <w:color w:val="auto"/>
                      <w:kern w:val="0"/>
                      <w:sz w:val="21"/>
                      <w:szCs w:val="21"/>
                      <w:highlight w:val="none"/>
                    </w:rPr>
                    <w:t>，功率0.16kw</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kern w:val="0"/>
                      <w:sz w:val="21"/>
                      <w:szCs w:val="21"/>
                      <w:highlight w:val="none"/>
                    </w:rPr>
                    <w:t>不锈钢</w:t>
                  </w:r>
                </w:p>
              </w:tc>
              <w:tc>
                <w:tcPr>
                  <w:tcW w:w="5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kern w:val="0"/>
                      <w:sz w:val="21"/>
                      <w:szCs w:val="21"/>
                      <w:highlight w:val="none"/>
                    </w:rPr>
                    <w:t>1</w:t>
                  </w:r>
                </w:p>
              </w:tc>
              <w:tc>
                <w:tcPr>
                  <w:tcW w:w="5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kern w:val="0"/>
                      <w:sz w:val="21"/>
                      <w:szCs w:val="21"/>
                      <w:highlight w:val="none"/>
                    </w:rPr>
                    <w:t>台</w:t>
                  </w:r>
                </w:p>
              </w:tc>
            </w:tr>
            <w:tr>
              <w:tblPrEx>
                <w:tblCellMar>
                  <w:top w:w="0" w:type="dxa"/>
                  <w:left w:w="0" w:type="dxa"/>
                  <w:bottom w:w="0" w:type="dxa"/>
                  <w:right w:w="0" w:type="dxa"/>
                </w:tblCellMar>
              </w:tblPrEx>
              <w:trPr>
                <w:trHeight w:val="23" w:hRule="atLeast"/>
              </w:trPr>
              <w:tc>
                <w:tcPr>
                  <w:tcW w:w="5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zh-CN"/>
                    </w:rPr>
                  </w:pPr>
                  <w:r>
                    <w:rPr>
                      <w:rFonts w:hint="eastAsia" w:cs="Times New Roman"/>
                      <w:color w:val="auto"/>
                      <w:kern w:val="0"/>
                      <w:sz w:val="21"/>
                      <w:szCs w:val="21"/>
                      <w:highlight w:val="none"/>
                      <w:lang w:val="en-US" w:eastAsia="zh-CN"/>
                    </w:rPr>
                    <w:t>24</w:t>
                  </w:r>
                </w:p>
              </w:tc>
              <w:tc>
                <w:tcPr>
                  <w:tcW w:w="999"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rPr>
                  </w:pPr>
                </w:p>
              </w:tc>
              <w:tc>
                <w:tcPr>
                  <w:tcW w:w="15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jc w:val="center"/>
                    <w:textAlignment w:val="center"/>
                    <w:rPr>
                      <w:rFonts w:hint="eastAsia"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eastAsia="zh-CN"/>
                    </w:rPr>
                    <w:t>次氯酸钠储罐</w:t>
                  </w:r>
                </w:p>
              </w:tc>
              <w:tc>
                <w:tcPr>
                  <w:tcW w:w="3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200L</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PE</w:t>
                  </w:r>
                </w:p>
              </w:tc>
              <w:tc>
                <w:tcPr>
                  <w:tcW w:w="5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5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jc w:val="center"/>
                    <w:textAlignment w:val="center"/>
                    <w:rPr>
                      <w:rFonts w:hint="eastAsia"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eastAsia="zh-CN"/>
                    </w:rPr>
                    <w:t>套</w:t>
                  </w:r>
                </w:p>
              </w:tc>
            </w:tr>
          </w:tbl>
          <w:p>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left"/>
              <w:textAlignment w:val="auto"/>
              <w:rPr>
                <w:b/>
                <w:bCs/>
              </w:rPr>
            </w:pPr>
            <w:r>
              <w:rPr>
                <w:rFonts w:hint="eastAsia"/>
                <w:b/>
                <w:bCs/>
              </w:rPr>
              <w:t>⑵污水管网</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szCs w:val="24"/>
              </w:rPr>
            </w:pPr>
            <w:r>
              <w:rPr>
                <w:rFonts w:hint="eastAsia"/>
                <w:szCs w:val="24"/>
              </w:rPr>
              <w:t>项目污水管网工程量清单列表如下：</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sz w:val="21"/>
                <w:szCs w:val="24"/>
              </w:rPr>
            </w:pPr>
            <w:r>
              <w:rPr>
                <w:b/>
                <w:sz w:val="21"/>
                <w:szCs w:val="24"/>
              </w:rPr>
              <w:t>表</w:t>
            </w:r>
            <w:r>
              <w:rPr>
                <w:rFonts w:hint="eastAsia"/>
                <w:b/>
                <w:sz w:val="21"/>
                <w:szCs w:val="24"/>
                <w:lang w:val="en-US" w:eastAsia="zh-CN"/>
              </w:rPr>
              <w:t>2-4</w:t>
            </w:r>
            <w:r>
              <w:rPr>
                <w:rFonts w:hint="eastAsia"/>
                <w:b/>
                <w:sz w:val="21"/>
                <w:szCs w:val="24"/>
              </w:rPr>
              <w:t xml:space="preserve"> 项目污水管网工程清单</w:t>
            </w:r>
            <w:r>
              <w:rPr>
                <w:b/>
                <w:sz w:val="21"/>
                <w:szCs w:val="24"/>
              </w:rPr>
              <w:t>情况</w:t>
            </w:r>
            <w:r>
              <w:rPr>
                <w:rFonts w:hint="eastAsia"/>
                <w:b/>
                <w:sz w:val="21"/>
                <w:szCs w:val="24"/>
              </w:rPr>
              <w:t>一览</w:t>
            </w:r>
            <w:r>
              <w:rPr>
                <w:b/>
                <w:sz w:val="21"/>
                <w:szCs w:val="24"/>
              </w:rPr>
              <w:t>表</w:t>
            </w:r>
          </w:p>
          <w:tbl>
            <w:tblPr>
              <w:tblStyle w:val="15"/>
              <w:tblW w:w="4998" w:type="pct"/>
              <w:tblInd w:w="0" w:type="dxa"/>
              <w:tblLayout w:type="autofit"/>
              <w:tblCellMar>
                <w:top w:w="0" w:type="dxa"/>
                <w:left w:w="0" w:type="dxa"/>
                <w:bottom w:w="0" w:type="dxa"/>
                <w:right w:w="0" w:type="dxa"/>
              </w:tblCellMar>
            </w:tblPr>
            <w:tblGrid>
              <w:gridCol w:w="732"/>
              <w:gridCol w:w="2864"/>
              <w:gridCol w:w="2549"/>
              <w:gridCol w:w="735"/>
              <w:gridCol w:w="735"/>
              <w:gridCol w:w="736"/>
            </w:tblGrid>
            <w:tr>
              <w:trPr>
                <w:trHeight w:val="255" w:hRule="atLeast"/>
              </w:trPr>
              <w:tc>
                <w:tcPr>
                  <w:tcW w:w="43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kern w:val="0"/>
                      <w:sz w:val="21"/>
                      <w:szCs w:val="21"/>
                      <w:highlight w:val="none"/>
                      <w:lang w:bidi="ar"/>
                    </w:rPr>
                    <w:t>序号</w:t>
                  </w:r>
                </w:p>
              </w:tc>
              <w:tc>
                <w:tcPr>
                  <w:tcW w:w="17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kern w:val="0"/>
                      <w:sz w:val="21"/>
                      <w:szCs w:val="21"/>
                      <w:highlight w:val="none"/>
                      <w:lang w:bidi="ar"/>
                    </w:rPr>
                    <w:t>村庄</w:t>
                  </w:r>
                </w:p>
              </w:tc>
              <w:tc>
                <w:tcPr>
                  <w:tcW w:w="152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kern w:val="0"/>
                      <w:sz w:val="21"/>
                      <w:szCs w:val="21"/>
                      <w:highlight w:val="none"/>
                      <w:lang w:bidi="ar"/>
                    </w:rPr>
                    <w:t>名称</w:t>
                  </w:r>
                </w:p>
              </w:tc>
              <w:tc>
                <w:tcPr>
                  <w:tcW w:w="44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kern w:val="0"/>
                      <w:sz w:val="21"/>
                      <w:szCs w:val="21"/>
                      <w:highlight w:val="none"/>
                      <w:lang w:bidi="ar"/>
                    </w:rPr>
                    <w:t>规格</w:t>
                  </w:r>
                </w:p>
              </w:tc>
              <w:tc>
                <w:tcPr>
                  <w:tcW w:w="44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kern w:val="0"/>
                      <w:sz w:val="21"/>
                      <w:szCs w:val="21"/>
                      <w:highlight w:val="none"/>
                      <w:lang w:bidi="ar"/>
                    </w:rPr>
                    <w:t>单位</w:t>
                  </w:r>
                </w:p>
              </w:tc>
              <w:tc>
                <w:tcPr>
                  <w:tcW w:w="44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kern w:val="0"/>
                      <w:sz w:val="21"/>
                      <w:szCs w:val="21"/>
                      <w:highlight w:val="none"/>
                      <w:lang w:bidi="ar"/>
                    </w:rPr>
                    <w:t>数量</w:t>
                  </w:r>
                </w:p>
              </w:tc>
            </w:tr>
            <w:tr>
              <w:trPr>
                <w:trHeight w:val="292" w:hRule="atLeast"/>
              </w:trPr>
              <w:tc>
                <w:tcPr>
                  <w:tcW w:w="43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numPr>
                      <w:ilvl w:val="0"/>
                      <w:numId w:val="0"/>
                    </w:numPr>
                    <w:kinsoku/>
                    <w:wordWrap/>
                    <w:overflowPunct/>
                    <w:topLinePunct w:val="0"/>
                    <w:autoSpaceDE w:val="0"/>
                    <w:autoSpaceDN w:val="0"/>
                    <w:bidi w:val="0"/>
                    <w:adjustRightInd/>
                    <w:snapToGrid/>
                    <w:spacing w:line="240" w:lineRule="auto"/>
                    <w:ind w:leftChars="0" w:right="0" w:rightChars="0"/>
                    <w:jc w:val="center"/>
                    <w:textAlignment w:val="bottom"/>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714" w:type="pct"/>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沥水沟村</w:t>
                  </w:r>
                </w:p>
              </w:tc>
              <w:tc>
                <w:tcPr>
                  <w:tcW w:w="152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高密度聚乙烯双壁波纹管</w:t>
                  </w:r>
                </w:p>
              </w:tc>
              <w:tc>
                <w:tcPr>
                  <w:tcW w:w="44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DN300</w:t>
                  </w:r>
                </w:p>
              </w:tc>
              <w:tc>
                <w:tcPr>
                  <w:tcW w:w="44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m</w:t>
                  </w:r>
                </w:p>
              </w:tc>
              <w:tc>
                <w:tcPr>
                  <w:tcW w:w="44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90</w:t>
                  </w:r>
                </w:p>
              </w:tc>
            </w:tr>
            <w:tr>
              <w:tblPrEx>
                <w:tblCellMar>
                  <w:top w:w="0" w:type="dxa"/>
                  <w:left w:w="0" w:type="dxa"/>
                  <w:bottom w:w="0" w:type="dxa"/>
                  <w:right w:w="0" w:type="dxa"/>
                </w:tblCellMar>
              </w:tblPrEx>
              <w:trPr>
                <w:trHeight w:val="292" w:hRule="atLeast"/>
              </w:trPr>
              <w:tc>
                <w:tcPr>
                  <w:tcW w:w="43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numPr>
                      <w:ilvl w:val="0"/>
                      <w:numId w:val="0"/>
                    </w:numPr>
                    <w:kinsoku/>
                    <w:wordWrap/>
                    <w:overflowPunct/>
                    <w:topLinePunct w:val="0"/>
                    <w:autoSpaceDE w:val="0"/>
                    <w:autoSpaceDN w:val="0"/>
                    <w:bidi w:val="0"/>
                    <w:adjustRightInd/>
                    <w:snapToGrid/>
                    <w:spacing w:line="240" w:lineRule="auto"/>
                    <w:ind w:leftChars="0" w:right="0" w:rightChars="0"/>
                    <w:jc w:val="center"/>
                    <w:textAlignment w:val="bottom"/>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714" w:type="pct"/>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default" w:ascii="Times New Roman" w:hAnsi="Times New Roman" w:eastAsia="宋体" w:cs="Times New Roman"/>
                      <w:color w:val="auto"/>
                      <w:kern w:val="0"/>
                      <w:sz w:val="21"/>
                      <w:szCs w:val="21"/>
                      <w:highlight w:val="none"/>
                      <w:lang w:val="en-US" w:eastAsia="zh-CN" w:bidi="ar"/>
                    </w:rPr>
                  </w:pPr>
                </w:p>
              </w:tc>
              <w:tc>
                <w:tcPr>
                  <w:tcW w:w="152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bidi="ar"/>
                    </w:rPr>
                    <w:t>高密度聚乙烯双壁波纹管</w:t>
                  </w:r>
                </w:p>
              </w:tc>
              <w:tc>
                <w:tcPr>
                  <w:tcW w:w="44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bidi="ar"/>
                    </w:rPr>
                    <w:t>DN</w:t>
                  </w:r>
                  <w:r>
                    <w:rPr>
                      <w:rFonts w:hint="default" w:ascii="Times New Roman" w:hAnsi="Times New Roman" w:eastAsia="宋体"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bidi="ar"/>
                    </w:rPr>
                    <w:t>00</w:t>
                  </w:r>
                </w:p>
              </w:tc>
              <w:tc>
                <w:tcPr>
                  <w:tcW w:w="44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bidi="ar"/>
                    </w:rPr>
                    <w:t>m</w:t>
                  </w:r>
                </w:p>
              </w:tc>
              <w:tc>
                <w:tcPr>
                  <w:tcW w:w="44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18</w:t>
                  </w:r>
                  <w:r>
                    <w:rPr>
                      <w:rFonts w:hint="eastAsia" w:cs="Times New Roman"/>
                      <w:color w:val="auto"/>
                      <w:kern w:val="0"/>
                      <w:sz w:val="21"/>
                      <w:szCs w:val="21"/>
                      <w:highlight w:val="none"/>
                      <w:lang w:val="en-US" w:eastAsia="zh-CN" w:bidi="ar"/>
                    </w:rPr>
                    <w:t>65</w:t>
                  </w:r>
                </w:p>
              </w:tc>
            </w:tr>
            <w:tr>
              <w:trPr>
                <w:trHeight w:val="255" w:hRule="atLeast"/>
              </w:trPr>
              <w:tc>
                <w:tcPr>
                  <w:tcW w:w="43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numPr>
                      <w:ilvl w:val="0"/>
                      <w:numId w:val="0"/>
                    </w:numPr>
                    <w:kinsoku/>
                    <w:wordWrap/>
                    <w:overflowPunct/>
                    <w:topLinePunct w:val="0"/>
                    <w:autoSpaceDE w:val="0"/>
                    <w:autoSpaceDN w:val="0"/>
                    <w:bidi w:val="0"/>
                    <w:adjustRightInd/>
                    <w:snapToGrid/>
                    <w:spacing w:line="240" w:lineRule="auto"/>
                    <w:ind w:leftChars="0" w:right="0" w:rightChars="0"/>
                    <w:jc w:val="center"/>
                    <w:textAlignment w:val="bottom"/>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714" w:type="pct"/>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auto"/>
                      <w:sz w:val="21"/>
                      <w:szCs w:val="21"/>
                      <w:highlight w:val="none"/>
                    </w:rPr>
                  </w:pPr>
                </w:p>
              </w:tc>
              <w:tc>
                <w:tcPr>
                  <w:tcW w:w="152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PVC-U管</w:t>
                  </w:r>
                </w:p>
              </w:tc>
              <w:tc>
                <w:tcPr>
                  <w:tcW w:w="44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De110</w:t>
                  </w:r>
                </w:p>
              </w:tc>
              <w:tc>
                <w:tcPr>
                  <w:tcW w:w="44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m</w:t>
                  </w:r>
                </w:p>
              </w:tc>
              <w:tc>
                <w:tcPr>
                  <w:tcW w:w="44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1900</w:t>
                  </w:r>
                </w:p>
              </w:tc>
            </w:tr>
            <w:tr>
              <w:tblPrEx>
                <w:tblCellMar>
                  <w:top w:w="0" w:type="dxa"/>
                  <w:left w:w="0" w:type="dxa"/>
                  <w:bottom w:w="0" w:type="dxa"/>
                  <w:right w:w="0" w:type="dxa"/>
                </w:tblCellMar>
              </w:tblPrEx>
              <w:trPr>
                <w:trHeight w:val="255" w:hRule="atLeast"/>
              </w:trPr>
              <w:tc>
                <w:tcPr>
                  <w:tcW w:w="43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numPr>
                      <w:ilvl w:val="0"/>
                      <w:numId w:val="0"/>
                    </w:numPr>
                    <w:kinsoku/>
                    <w:wordWrap/>
                    <w:overflowPunct/>
                    <w:topLinePunct w:val="0"/>
                    <w:autoSpaceDE w:val="0"/>
                    <w:autoSpaceDN w:val="0"/>
                    <w:bidi w:val="0"/>
                    <w:adjustRightInd/>
                    <w:snapToGrid/>
                    <w:spacing w:line="240" w:lineRule="auto"/>
                    <w:ind w:leftChars="0" w:right="0" w:rightChars="0"/>
                    <w:jc w:val="center"/>
                    <w:textAlignment w:val="bottom"/>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1714" w:type="pct"/>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auto"/>
                      <w:sz w:val="21"/>
                      <w:szCs w:val="21"/>
                      <w:highlight w:val="none"/>
                    </w:rPr>
                  </w:pPr>
                </w:p>
              </w:tc>
              <w:tc>
                <w:tcPr>
                  <w:tcW w:w="152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塑料排水检查井</w:t>
                  </w:r>
                </w:p>
              </w:tc>
              <w:tc>
                <w:tcPr>
                  <w:tcW w:w="44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∅700</w:t>
                  </w:r>
                </w:p>
              </w:tc>
              <w:tc>
                <w:tcPr>
                  <w:tcW w:w="44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个</w:t>
                  </w:r>
                </w:p>
              </w:tc>
              <w:tc>
                <w:tcPr>
                  <w:tcW w:w="44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136</w:t>
                  </w:r>
                </w:p>
              </w:tc>
            </w:tr>
            <w:tr>
              <w:tblPrEx>
                <w:tblCellMar>
                  <w:top w:w="0" w:type="dxa"/>
                  <w:left w:w="0" w:type="dxa"/>
                  <w:bottom w:w="0" w:type="dxa"/>
                  <w:right w:w="0" w:type="dxa"/>
                </w:tblCellMar>
              </w:tblPrEx>
              <w:trPr>
                <w:trHeight w:val="255" w:hRule="atLeast"/>
              </w:trPr>
              <w:tc>
                <w:tcPr>
                  <w:tcW w:w="43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numPr>
                      <w:ilvl w:val="0"/>
                      <w:numId w:val="0"/>
                    </w:numPr>
                    <w:kinsoku/>
                    <w:wordWrap/>
                    <w:overflowPunct/>
                    <w:topLinePunct w:val="0"/>
                    <w:autoSpaceDE w:val="0"/>
                    <w:autoSpaceDN w:val="0"/>
                    <w:bidi w:val="0"/>
                    <w:adjustRightInd/>
                    <w:snapToGrid/>
                    <w:spacing w:line="240" w:lineRule="auto"/>
                    <w:ind w:leftChars="0" w:right="0" w:rightChars="0"/>
                    <w:jc w:val="center"/>
                    <w:textAlignment w:val="bottom"/>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714" w:type="pct"/>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auto"/>
                      <w:sz w:val="21"/>
                      <w:szCs w:val="21"/>
                      <w:highlight w:val="none"/>
                    </w:rPr>
                  </w:pPr>
                </w:p>
              </w:tc>
              <w:tc>
                <w:tcPr>
                  <w:tcW w:w="152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PE管</w:t>
                  </w:r>
                </w:p>
              </w:tc>
              <w:tc>
                <w:tcPr>
                  <w:tcW w:w="44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De90</w:t>
                  </w:r>
                </w:p>
              </w:tc>
              <w:tc>
                <w:tcPr>
                  <w:tcW w:w="44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m</w:t>
                  </w:r>
                </w:p>
              </w:tc>
              <w:tc>
                <w:tcPr>
                  <w:tcW w:w="44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60</w:t>
                  </w:r>
                </w:p>
              </w:tc>
            </w:tr>
          </w:tbl>
          <w:p>
            <w:pPr>
              <w:keepNext w:val="0"/>
              <w:keepLines w:val="0"/>
              <w:pageBreakBefore w:val="0"/>
              <w:widowControl w:val="0"/>
              <w:kinsoku/>
              <w:wordWrap/>
              <w:overflowPunct/>
              <w:topLinePunct w:val="0"/>
              <w:autoSpaceDE w:val="0"/>
              <w:autoSpaceDN w:val="0"/>
              <w:bidi w:val="0"/>
              <w:adjustRightInd w:val="0"/>
              <w:snapToGrid/>
              <w:spacing w:line="500" w:lineRule="exact"/>
              <w:ind w:firstLine="482" w:firstLineChars="200"/>
              <w:jc w:val="left"/>
              <w:textAlignment w:val="auto"/>
              <w:rPr>
                <w:color w:val="auto"/>
                <w:sz w:val="24"/>
                <w:szCs w:val="24"/>
              </w:rPr>
            </w:pPr>
            <w:r>
              <w:rPr>
                <w:rFonts w:hint="eastAsia"/>
                <w:b/>
                <w:color w:val="auto"/>
                <w:sz w:val="24"/>
                <w:szCs w:val="24"/>
              </w:rPr>
              <w:t>⑶水量预测：</w:t>
            </w:r>
            <w:r>
              <w:rPr>
                <w:rFonts w:hint="eastAsia"/>
                <w:color w:val="auto"/>
                <w:sz w:val="24"/>
                <w:szCs w:val="24"/>
              </w:rPr>
              <w:t>根据河北省地方标准《用水定额第3部分：生活用水》（DB13/T1161.3-2016）、《农村生活饮用水量卫生标准》（GB11730-89）和《农村给水设计规范》（CECS82：96），在调查</w:t>
            </w:r>
            <w:r>
              <w:rPr>
                <w:rFonts w:hint="eastAsia"/>
                <w:color w:val="auto"/>
                <w:sz w:val="24"/>
                <w:szCs w:val="24"/>
                <w:lang w:eastAsia="zh-CN"/>
              </w:rPr>
              <w:t>沥水沟</w:t>
            </w:r>
            <w:r>
              <w:rPr>
                <w:rFonts w:hint="eastAsia"/>
                <w:color w:val="auto"/>
                <w:sz w:val="24"/>
                <w:szCs w:val="24"/>
              </w:rPr>
              <w:t>村农村居民用水现状、生活习惯、经济条件、发展潜力等情况的基础上确定用水定额为</w:t>
            </w:r>
            <w:r>
              <w:rPr>
                <w:rFonts w:hint="eastAsia"/>
                <w:color w:val="auto"/>
                <w:sz w:val="24"/>
                <w:szCs w:val="24"/>
                <w:lang w:val="en-US" w:eastAsia="zh-CN"/>
              </w:rPr>
              <w:t>100</w:t>
            </w:r>
            <w:r>
              <w:rPr>
                <w:rFonts w:hint="eastAsia"/>
                <w:color w:val="auto"/>
                <w:sz w:val="24"/>
                <w:szCs w:val="24"/>
              </w:rPr>
              <w:t>L/人·d</w:t>
            </w:r>
            <w:r>
              <w:rPr>
                <w:rFonts w:hint="eastAsia"/>
                <w:color w:val="auto"/>
                <w:sz w:val="24"/>
                <w:szCs w:val="24"/>
                <w:lang w:eastAsia="zh-CN"/>
              </w:rPr>
              <w:t>；</w:t>
            </w:r>
            <w:r>
              <w:rPr>
                <w:rFonts w:hint="eastAsia"/>
                <w:color w:val="auto"/>
                <w:sz w:val="24"/>
                <w:szCs w:val="24"/>
              </w:rPr>
              <w:t>排水系数以0</w:t>
            </w:r>
            <w:r>
              <w:rPr>
                <w:color w:val="auto"/>
                <w:sz w:val="24"/>
                <w:szCs w:val="24"/>
              </w:rPr>
              <w:t>.8</w:t>
            </w:r>
            <w:r>
              <w:rPr>
                <w:rFonts w:hint="eastAsia"/>
                <w:color w:val="auto"/>
                <w:sz w:val="24"/>
                <w:szCs w:val="24"/>
              </w:rPr>
              <w:t>计。</w:t>
            </w:r>
          </w:p>
          <w:p>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jc w:val="left"/>
              <w:textAlignment w:val="auto"/>
              <w:rPr>
                <w:color w:val="auto"/>
                <w:sz w:val="24"/>
                <w:szCs w:val="24"/>
              </w:rPr>
            </w:pPr>
            <w:r>
              <w:rPr>
                <w:color w:val="auto"/>
                <w:sz w:val="24"/>
                <w:szCs w:val="24"/>
              </w:rPr>
              <w:t>居民生活污水经各农户化粪池通过污水管网排入</w:t>
            </w:r>
            <w:r>
              <w:rPr>
                <w:rFonts w:hint="eastAsia"/>
                <w:color w:val="auto"/>
                <w:sz w:val="24"/>
                <w:szCs w:val="24"/>
                <w:lang w:eastAsia="zh-CN"/>
              </w:rPr>
              <w:t>新建</w:t>
            </w:r>
            <w:r>
              <w:rPr>
                <w:color w:val="auto"/>
                <w:sz w:val="24"/>
                <w:szCs w:val="24"/>
              </w:rPr>
              <w:t>污水处理站，经过处理达标后</w:t>
            </w:r>
            <w:r>
              <w:rPr>
                <w:rFonts w:hint="eastAsia"/>
                <w:color w:val="auto"/>
                <w:sz w:val="24"/>
                <w:szCs w:val="24"/>
              </w:rPr>
              <w:t>排入集水池暂存，</w:t>
            </w:r>
            <w:r>
              <w:rPr>
                <w:rFonts w:hint="eastAsia"/>
              </w:rPr>
              <w:t>达标尾水全部回用于农田灌溉</w:t>
            </w:r>
            <w:r>
              <w:rPr>
                <w:rFonts w:hint="eastAsia"/>
                <w:lang w:eastAsia="zh-CN"/>
              </w:rPr>
              <w:t>，</w:t>
            </w:r>
            <w:r>
              <w:rPr>
                <w:rFonts w:hint="eastAsia"/>
                <w:lang w:val="en-US" w:eastAsia="zh-CN"/>
              </w:rPr>
              <w:t>冬季用于农田冬灌</w:t>
            </w:r>
            <w:r>
              <w:rPr>
                <w:rFonts w:hint="eastAsia"/>
              </w:rPr>
              <w:t>。</w:t>
            </w:r>
            <w:r>
              <w:rPr>
                <w:rFonts w:hint="eastAsia"/>
                <w:color w:val="auto"/>
                <w:sz w:val="24"/>
                <w:szCs w:val="24"/>
              </w:rPr>
              <w:t>综上</w:t>
            </w:r>
            <w:r>
              <w:rPr>
                <w:color w:val="auto"/>
                <w:sz w:val="24"/>
                <w:szCs w:val="24"/>
              </w:rPr>
              <w:t>，</w:t>
            </w:r>
            <w:r>
              <w:rPr>
                <w:rFonts w:hint="eastAsia"/>
                <w:color w:val="auto"/>
                <w:sz w:val="24"/>
                <w:szCs w:val="24"/>
              </w:rPr>
              <w:t>项目</w:t>
            </w:r>
            <w:r>
              <w:rPr>
                <w:color w:val="auto"/>
                <w:sz w:val="24"/>
                <w:szCs w:val="24"/>
              </w:rPr>
              <w:t>生活污水</w:t>
            </w:r>
            <w:r>
              <w:rPr>
                <w:rFonts w:hint="eastAsia"/>
                <w:color w:val="auto"/>
                <w:sz w:val="24"/>
                <w:szCs w:val="24"/>
                <w:lang w:eastAsia="zh-CN"/>
              </w:rPr>
              <w:t>产生量</w:t>
            </w:r>
            <w:r>
              <w:rPr>
                <w:color w:val="auto"/>
                <w:sz w:val="24"/>
                <w:szCs w:val="24"/>
              </w:rPr>
              <w:t>见</w:t>
            </w:r>
            <w:r>
              <w:rPr>
                <w:rFonts w:hint="eastAsia"/>
                <w:color w:val="auto"/>
                <w:sz w:val="24"/>
                <w:szCs w:val="24"/>
              </w:rPr>
              <w:t>下表</w:t>
            </w:r>
            <w:r>
              <w:rPr>
                <w:color w:val="auto"/>
                <w:sz w:val="24"/>
                <w:szCs w:val="24"/>
              </w:rPr>
              <w:t>。</w:t>
            </w:r>
          </w:p>
          <w:p>
            <w:pPr>
              <w:keepNext w:val="0"/>
              <w:keepLines w:val="0"/>
              <w:pageBreakBefore w:val="0"/>
              <w:widowControl w:val="0"/>
              <w:kinsoku/>
              <w:wordWrap/>
              <w:overflowPunct/>
              <w:topLinePunct w:val="0"/>
              <w:autoSpaceDE w:val="0"/>
              <w:autoSpaceDN w:val="0"/>
              <w:bidi w:val="0"/>
              <w:adjustRightInd w:val="0"/>
              <w:snapToGrid/>
              <w:spacing w:line="500" w:lineRule="exact"/>
              <w:ind w:firstLine="21" w:firstLineChars="10"/>
              <w:jc w:val="center"/>
              <w:textAlignment w:val="auto"/>
              <w:rPr>
                <w:b/>
                <w:sz w:val="21"/>
                <w:szCs w:val="21"/>
              </w:rPr>
            </w:pPr>
            <w:r>
              <w:rPr>
                <w:b/>
                <w:sz w:val="21"/>
                <w:szCs w:val="21"/>
              </w:rPr>
              <w:t>表</w:t>
            </w:r>
            <w:r>
              <w:rPr>
                <w:rFonts w:hint="eastAsia"/>
                <w:b/>
                <w:sz w:val="21"/>
                <w:szCs w:val="21"/>
                <w:lang w:val="en-US" w:eastAsia="zh-CN"/>
              </w:rPr>
              <w:t>2-5</w:t>
            </w:r>
            <w:r>
              <w:rPr>
                <w:b/>
                <w:sz w:val="21"/>
                <w:szCs w:val="21"/>
              </w:rPr>
              <w:t xml:space="preserve"> 生活污水</w:t>
            </w:r>
            <w:r>
              <w:rPr>
                <w:rFonts w:hint="eastAsia"/>
                <w:b/>
                <w:sz w:val="21"/>
                <w:szCs w:val="21"/>
                <w:lang w:eastAsia="zh-CN"/>
              </w:rPr>
              <w:t>产生产生量</w:t>
            </w:r>
            <w:r>
              <w:rPr>
                <w:rFonts w:hint="eastAsia"/>
                <w:b/>
                <w:sz w:val="21"/>
                <w:szCs w:val="21"/>
              </w:rPr>
              <w:t>一览表</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1073"/>
              <w:gridCol w:w="1297"/>
              <w:gridCol w:w="1432"/>
              <w:gridCol w:w="1013"/>
              <w:gridCol w:w="1223"/>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7" w:hRule="atLeast"/>
                <w:jc w:val="center"/>
              </w:trPr>
              <w:tc>
                <w:tcPr>
                  <w:tcW w:w="64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名称</w:t>
                  </w:r>
                </w:p>
              </w:tc>
              <w:tc>
                <w:tcPr>
                  <w:tcW w:w="64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人口数量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(人)</w:t>
                  </w:r>
                </w:p>
              </w:tc>
              <w:tc>
                <w:tcPr>
                  <w:tcW w:w="77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人均</w:t>
                  </w:r>
                  <w:r>
                    <w:rPr>
                      <w:rFonts w:hint="default" w:ascii="Times New Roman" w:hAnsi="Times New Roman" w:eastAsia="宋体" w:cs="Times New Roman"/>
                      <w:b/>
                      <w:bCs/>
                      <w:sz w:val="21"/>
                      <w:szCs w:val="21"/>
                      <w:lang w:eastAsia="zh-CN"/>
                    </w:rPr>
                    <w:t>用</w:t>
                  </w:r>
                  <w:r>
                    <w:rPr>
                      <w:rFonts w:hint="default" w:ascii="Times New Roman" w:hAnsi="Times New Roman" w:eastAsia="宋体" w:cs="Times New Roman"/>
                      <w:b/>
                      <w:bCs/>
                      <w:sz w:val="21"/>
                      <w:szCs w:val="21"/>
                    </w:rPr>
                    <w:t>水量 L/(人*d)</w:t>
                  </w:r>
                </w:p>
              </w:tc>
              <w:tc>
                <w:tcPr>
                  <w:tcW w:w="8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color w:val="auto"/>
                      <w:sz w:val="21"/>
                      <w:szCs w:val="21"/>
                    </w:rPr>
                    <w:t>日用水量(</w:t>
                  </w:r>
                  <w:r>
                    <w:rPr>
                      <w:rFonts w:hint="default" w:ascii="Times New Roman" w:hAnsi="Times New Roman" w:eastAsia="宋体" w:cs="Times New Roman"/>
                      <w:b/>
                      <w:bCs/>
                      <w:color w:val="auto"/>
                      <w:sz w:val="21"/>
                      <w:szCs w:val="21"/>
                      <w:lang w:eastAsia="zh-CN"/>
                    </w:rPr>
                    <w:t>m</w:t>
                  </w:r>
                  <w:r>
                    <w:rPr>
                      <w:rFonts w:hint="default" w:ascii="Times New Roman" w:hAnsi="Times New Roman" w:eastAsia="宋体" w:cs="Times New Roman"/>
                      <w:b/>
                      <w:bCs/>
                      <w:color w:val="auto"/>
                      <w:sz w:val="21"/>
                      <w:szCs w:val="21"/>
                    </w:rPr>
                    <w:t>³/</w:t>
                  </w:r>
                  <w:r>
                    <w:rPr>
                      <w:rFonts w:hint="default" w:ascii="Times New Roman" w:hAnsi="Times New Roman" w:eastAsia="宋体" w:cs="Times New Roman"/>
                      <w:b/>
                      <w:bCs/>
                      <w:color w:val="auto"/>
                      <w:sz w:val="21"/>
                      <w:szCs w:val="21"/>
                      <w:lang w:eastAsia="zh-CN"/>
                    </w:rPr>
                    <w:t>d</w:t>
                  </w:r>
                  <w:r>
                    <w:rPr>
                      <w:rFonts w:hint="default" w:ascii="Times New Roman" w:hAnsi="Times New Roman" w:eastAsia="宋体" w:cs="Times New Roman"/>
                      <w:b/>
                      <w:bCs/>
                      <w:color w:val="auto"/>
                      <w:sz w:val="21"/>
                      <w:szCs w:val="21"/>
                    </w:rPr>
                    <w:t>)</w:t>
                  </w:r>
                </w:p>
              </w:tc>
              <w:tc>
                <w:tcPr>
                  <w:tcW w:w="6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color w:val="auto"/>
                      <w:sz w:val="21"/>
                      <w:szCs w:val="21"/>
                    </w:rPr>
                    <w:t>污水排放系数</w:t>
                  </w:r>
                </w:p>
              </w:tc>
              <w:tc>
                <w:tcPr>
                  <w:tcW w:w="73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color w:val="auto"/>
                      <w:sz w:val="21"/>
                      <w:szCs w:val="21"/>
                    </w:rPr>
                    <w:t>污水量(</w:t>
                  </w:r>
                  <w:r>
                    <w:rPr>
                      <w:rFonts w:hint="default" w:ascii="Times New Roman" w:hAnsi="Times New Roman" w:eastAsia="宋体" w:cs="Times New Roman"/>
                      <w:b/>
                      <w:bCs/>
                      <w:color w:val="auto"/>
                      <w:sz w:val="21"/>
                      <w:szCs w:val="21"/>
                      <w:lang w:eastAsia="zh-CN"/>
                    </w:rPr>
                    <w:t>m</w:t>
                  </w:r>
                  <w:r>
                    <w:rPr>
                      <w:rFonts w:hint="default" w:ascii="Times New Roman" w:hAnsi="Times New Roman" w:eastAsia="宋体" w:cs="Times New Roman"/>
                      <w:b/>
                      <w:bCs/>
                      <w:color w:val="auto"/>
                      <w:sz w:val="21"/>
                      <w:szCs w:val="21"/>
                    </w:rPr>
                    <w:t>³/</w:t>
                  </w:r>
                  <w:r>
                    <w:rPr>
                      <w:rFonts w:hint="default" w:ascii="Times New Roman" w:hAnsi="Times New Roman" w:eastAsia="宋体" w:cs="Times New Roman"/>
                      <w:b/>
                      <w:bCs/>
                      <w:color w:val="auto"/>
                      <w:sz w:val="21"/>
                      <w:szCs w:val="21"/>
                      <w:lang w:eastAsia="zh-CN"/>
                    </w:rPr>
                    <w:t>d</w:t>
                  </w:r>
                  <w:r>
                    <w:rPr>
                      <w:rFonts w:hint="default" w:ascii="Times New Roman" w:hAnsi="Times New Roman" w:eastAsia="宋体" w:cs="Times New Roman"/>
                      <w:b/>
                      <w:bCs/>
                      <w:color w:val="auto"/>
                      <w:sz w:val="21"/>
                      <w:szCs w:val="21"/>
                    </w:rPr>
                    <w:t>)</w:t>
                  </w:r>
                </w:p>
              </w:tc>
              <w:tc>
                <w:tcPr>
                  <w:tcW w:w="73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000000"/>
                      <w:sz w:val="21"/>
                      <w:szCs w:val="21"/>
                    </w:rPr>
                    <w:t>处理规模（m</w:t>
                  </w:r>
                  <w:r>
                    <w:rPr>
                      <w:rFonts w:hint="default" w:ascii="Times New Roman" w:hAnsi="Times New Roman" w:eastAsia="宋体" w:cs="Times New Roman"/>
                      <w:b/>
                      <w:bCs/>
                      <w:color w:val="000000"/>
                      <w:sz w:val="21"/>
                      <w:szCs w:val="21"/>
                      <w:vertAlign w:val="superscript"/>
                    </w:rPr>
                    <w:t>3</w:t>
                  </w:r>
                  <w:r>
                    <w:rPr>
                      <w:rFonts w:hint="default" w:ascii="Times New Roman" w:hAnsi="Times New Roman" w:eastAsia="宋体" w:cs="Times New Roman"/>
                      <w:b/>
                      <w:bCs/>
                      <w:color w:val="000000"/>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64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kern w:val="2"/>
                      <w:sz w:val="21"/>
                      <w:szCs w:val="21"/>
                      <w:lang w:val="en-US" w:eastAsia="zh-CN" w:bidi="ar-SA"/>
                    </w:rPr>
                  </w:pPr>
                  <w:r>
                    <w:rPr>
                      <w:rFonts w:hint="eastAsia" w:ascii="宋体" w:hAnsi="宋体" w:eastAsia="宋体" w:cs="宋体"/>
                      <w:color w:val="auto"/>
                      <w:sz w:val="21"/>
                      <w:szCs w:val="21"/>
                      <w:lang w:eastAsia="zh-CN"/>
                    </w:rPr>
                    <w:t>沥水沟村</w:t>
                  </w:r>
                </w:p>
              </w:tc>
              <w:tc>
                <w:tcPr>
                  <w:tcW w:w="64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cs="宋体"/>
                      <w:color w:val="auto"/>
                      <w:sz w:val="21"/>
                      <w:szCs w:val="21"/>
                      <w:lang w:val="en-US" w:eastAsia="zh-CN"/>
                    </w:rPr>
                    <w:t>380</w:t>
                  </w:r>
                </w:p>
              </w:tc>
              <w:tc>
                <w:tcPr>
                  <w:tcW w:w="77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b w:val="0"/>
                      <w:bCs w:val="0"/>
                      <w:sz w:val="21"/>
                      <w:szCs w:val="21"/>
                      <w:lang w:val="en-US" w:eastAsia="zh-CN"/>
                    </w:rPr>
                    <w:t>100</w:t>
                  </w:r>
                </w:p>
              </w:tc>
              <w:tc>
                <w:tcPr>
                  <w:tcW w:w="85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b w:val="0"/>
                      <w:bCs w:val="0"/>
                      <w:color w:val="auto"/>
                      <w:kern w:val="2"/>
                      <w:sz w:val="21"/>
                      <w:szCs w:val="21"/>
                      <w:lang w:val="en-US" w:eastAsia="zh-CN" w:bidi="ar-SA"/>
                    </w:rPr>
                  </w:pPr>
                  <w:r>
                    <w:rPr>
                      <w:rFonts w:hint="eastAsia" w:ascii="Times New Roman" w:hAnsi="Times New Roman" w:eastAsia="宋体" w:cs="宋体"/>
                      <w:b w:val="0"/>
                      <w:bCs w:val="0"/>
                      <w:color w:val="auto"/>
                      <w:kern w:val="2"/>
                      <w:sz w:val="21"/>
                      <w:szCs w:val="21"/>
                      <w:lang w:val="en-US" w:eastAsia="zh-CN" w:bidi="ar-SA"/>
                    </w:rPr>
                    <w:t>38</w:t>
                  </w:r>
                </w:p>
              </w:tc>
              <w:tc>
                <w:tcPr>
                  <w:tcW w:w="6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b w:val="0"/>
                      <w:bCs w:val="0"/>
                      <w:color w:val="auto"/>
                      <w:kern w:val="2"/>
                      <w:sz w:val="21"/>
                      <w:szCs w:val="21"/>
                      <w:lang w:val="en-US" w:eastAsia="zh-CN" w:bidi="ar-SA"/>
                    </w:rPr>
                  </w:pPr>
                  <w:r>
                    <w:rPr>
                      <w:rFonts w:hint="eastAsia" w:cs="宋体"/>
                      <w:b w:val="0"/>
                      <w:bCs w:val="0"/>
                      <w:color w:val="auto"/>
                      <w:sz w:val="21"/>
                      <w:szCs w:val="21"/>
                      <w:lang w:val="en-US" w:eastAsia="zh-CN"/>
                    </w:rPr>
                    <w:t>0.8</w:t>
                  </w:r>
                </w:p>
              </w:tc>
              <w:tc>
                <w:tcPr>
                  <w:tcW w:w="73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b w:val="0"/>
                      <w:bCs w:val="0"/>
                      <w:color w:val="auto"/>
                      <w:kern w:val="2"/>
                      <w:sz w:val="21"/>
                      <w:szCs w:val="21"/>
                      <w:lang w:val="en-US" w:eastAsia="zh-CN" w:bidi="ar-SA"/>
                    </w:rPr>
                  </w:pPr>
                  <w:r>
                    <w:rPr>
                      <w:rFonts w:hint="eastAsia" w:cs="宋体"/>
                      <w:color w:val="auto"/>
                      <w:sz w:val="21"/>
                      <w:szCs w:val="21"/>
                      <w:lang w:val="en-US" w:eastAsia="zh-CN"/>
                    </w:rPr>
                    <w:t>30.4</w:t>
                  </w:r>
                </w:p>
              </w:tc>
              <w:tc>
                <w:tcPr>
                  <w:tcW w:w="73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color w:val="auto"/>
                      <w:kern w:val="2"/>
                      <w:sz w:val="21"/>
                      <w:szCs w:val="21"/>
                      <w:lang w:val="en-US" w:eastAsia="zh-CN" w:bidi="ar-SA"/>
                    </w:rPr>
                  </w:pPr>
                  <w:r>
                    <w:rPr>
                      <w:rFonts w:hint="eastAsia" w:cs="宋体"/>
                      <w:color w:val="auto"/>
                      <w:sz w:val="21"/>
                      <w:szCs w:val="21"/>
                      <w:lang w:val="en-US" w:eastAsia="zh-CN"/>
                    </w:rPr>
                    <w:t>50</w:t>
                  </w:r>
                </w:p>
              </w:tc>
            </w:tr>
          </w:tbl>
          <w:p>
            <w:pPr>
              <w:keepNext w:val="0"/>
              <w:keepLines w:val="0"/>
              <w:pageBreakBefore w:val="0"/>
              <w:widowControl w:val="0"/>
              <w:kinsoku/>
              <w:wordWrap/>
              <w:overflowPunct/>
              <w:topLinePunct w:val="0"/>
              <w:autoSpaceDE w:val="0"/>
              <w:autoSpaceDN w:val="0"/>
              <w:bidi w:val="0"/>
              <w:adjustRightInd/>
              <w:snapToGrid/>
              <w:spacing w:before="0" w:line="500" w:lineRule="exact"/>
              <w:ind w:firstLine="482" w:firstLineChars="200"/>
              <w:jc w:val="left"/>
              <w:textAlignment w:val="auto"/>
              <w:rPr>
                <w:b/>
                <w:color w:val="auto"/>
              </w:rPr>
            </w:pPr>
            <w:r>
              <w:rPr>
                <w:rFonts w:hint="eastAsia"/>
                <w:b/>
                <w:color w:val="auto"/>
              </w:rPr>
              <w:t>⑷设计进、出水水质指标：</w:t>
            </w:r>
          </w:p>
          <w:p>
            <w:pPr>
              <w:keepNext w:val="0"/>
              <w:keepLines w:val="0"/>
              <w:pageBreakBefore w:val="0"/>
              <w:widowControl w:val="0"/>
              <w:kinsoku/>
              <w:wordWrap/>
              <w:overflowPunct/>
              <w:topLinePunct w:val="0"/>
              <w:autoSpaceDE w:val="0"/>
              <w:autoSpaceDN w:val="0"/>
              <w:bidi w:val="0"/>
              <w:adjustRightInd/>
              <w:snapToGrid/>
              <w:spacing w:before="0" w:line="500" w:lineRule="exact"/>
              <w:ind w:firstLine="480" w:firstLineChars="200"/>
              <w:jc w:val="left"/>
              <w:textAlignment w:val="auto"/>
              <w:rPr>
                <w:color w:val="auto"/>
              </w:rPr>
            </w:pPr>
            <w:r>
              <w:rPr>
                <w:rFonts w:hint="eastAsia"/>
                <w:color w:val="auto"/>
              </w:rPr>
              <w:t>①设计进水水质指标</w:t>
            </w:r>
          </w:p>
          <w:p>
            <w:pPr>
              <w:keepNext w:val="0"/>
              <w:keepLines w:val="0"/>
              <w:pageBreakBefore w:val="0"/>
              <w:widowControl w:val="0"/>
              <w:kinsoku/>
              <w:wordWrap/>
              <w:overflowPunct/>
              <w:topLinePunct w:val="0"/>
              <w:autoSpaceDE w:val="0"/>
              <w:autoSpaceDN w:val="0"/>
              <w:bidi w:val="0"/>
              <w:adjustRightInd/>
              <w:snapToGrid/>
              <w:spacing w:before="0" w:line="500" w:lineRule="exact"/>
              <w:ind w:firstLine="480" w:firstLineChars="200"/>
              <w:jc w:val="left"/>
              <w:textAlignment w:val="auto"/>
              <w:rPr>
                <w:rFonts w:hint="eastAsia" w:eastAsia="宋体"/>
                <w:color w:val="auto"/>
                <w:sz w:val="24"/>
                <w:lang w:val="en-US" w:eastAsia="zh-CN"/>
              </w:rPr>
            </w:pPr>
            <w:r>
              <w:rPr>
                <w:color w:val="auto"/>
                <w:sz w:val="24"/>
              </w:rPr>
              <w:t>设计进水水质详见下表。</w:t>
            </w:r>
          </w:p>
          <w:p>
            <w:pPr>
              <w:keepNext w:val="0"/>
              <w:keepLines w:val="0"/>
              <w:pageBreakBefore w:val="0"/>
              <w:widowControl w:val="0"/>
              <w:kinsoku/>
              <w:wordWrap/>
              <w:overflowPunct/>
              <w:topLinePunct w:val="0"/>
              <w:autoSpaceDE w:val="0"/>
              <w:autoSpaceDN w:val="0"/>
              <w:bidi w:val="0"/>
              <w:adjustRightInd w:val="0"/>
              <w:snapToGrid/>
              <w:spacing w:line="500" w:lineRule="exact"/>
              <w:jc w:val="center"/>
              <w:textAlignment w:val="auto"/>
              <w:rPr>
                <w:b/>
                <w:bCs/>
                <w:color w:val="auto"/>
                <w:sz w:val="21"/>
                <w:szCs w:val="21"/>
              </w:rPr>
            </w:pPr>
            <w:r>
              <w:rPr>
                <w:b/>
                <w:bCs/>
                <w:color w:val="auto"/>
                <w:sz w:val="21"/>
                <w:szCs w:val="21"/>
              </w:rPr>
              <w:t>表</w:t>
            </w:r>
            <w:r>
              <w:rPr>
                <w:rFonts w:hint="eastAsia"/>
                <w:b/>
                <w:bCs/>
                <w:color w:val="auto"/>
                <w:sz w:val="21"/>
                <w:szCs w:val="21"/>
                <w:lang w:val="en-US" w:eastAsia="zh-CN"/>
              </w:rPr>
              <w:t>2-6</w:t>
            </w:r>
            <w:r>
              <w:rPr>
                <w:b/>
                <w:bCs/>
                <w:color w:val="auto"/>
                <w:sz w:val="21"/>
                <w:szCs w:val="21"/>
              </w:rPr>
              <w:t xml:space="preserve">  设计进水水质表（单位：</w:t>
            </w:r>
            <w:r>
              <w:rPr>
                <w:rFonts w:hint="eastAsia" w:ascii="Times New Roman" w:hAnsi="Times New Roman"/>
                <w:b/>
                <w:bCs/>
                <w:color w:val="auto"/>
                <w:sz w:val="21"/>
                <w:szCs w:val="21"/>
                <w:lang w:eastAsia="zh-CN"/>
              </w:rPr>
              <w:t>mg</w:t>
            </w:r>
            <w:r>
              <w:rPr>
                <w:b/>
                <w:bCs/>
                <w:color w:val="auto"/>
                <w:sz w:val="21"/>
                <w:szCs w:val="21"/>
              </w:rPr>
              <w:t>/</w:t>
            </w:r>
            <w:r>
              <w:rPr>
                <w:rFonts w:hint="eastAsia" w:ascii="Times New Roman" w:hAnsi="Times New Roman"/>
                <w:b/>
                <w:bCs/>
                <w:color w:val="auto"/>
                <w:sz w:val="21"/>
                <w:szCs w:val="21"/>
                <w:lang w:eastAsia="zh-CN"/>
              </w:rPr>
              <w:t>L</w:t>
            </w:r>
            <w:r>
              <w:rPr>
                <w:b/>
                <w:bCs/>
                <w:color w:val="auto"/>
                <w:sz w:val="21"/>
                <w:szCs w:val="21"/>
              </w:rPr>
              <w:t>）</w:t>
            </w:r>
          </w:p>
          <w:tbl>
            <w:tblPr>
              <w:tblStyle w:val="15"/>
              <w:tblW w:w="834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911"/>
              <w:gridCol w:w="1055"/>
              <w:gridCol w:w="1106"/>
              <w:gridCol w:w="1106"/>
              <w:gridCol w:w="1106"/>
              <w:gridCol w:w="1034"/>
              <w:gridCol w:w="103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74" w:hRule="atLeast"/>
                <w:jc w:val="center"/>
              </w:trPr>
              <w:tc>
                <w:tcPr>
                  <w:tcW w:w="1911" w:type="dxa"/>
                  <w:noWrap w:val="0"/>
                  <w:vAlign w:val="center"/>
                </w:tcPr>
                <w:p>
                  <w:pPr>
                    <w:autoSpaceDE w:val="0"/>
                    <w:autoSpaceDN w:val="0"/>
                    <w:adjustRightInd w:val="0"/>
                    <w:jc w:val="center"/>
                    <w:rPr>
                      <w:b/>
                      <w:bCs/>
                      <w:color w:val="auto"/>
                      <w:kern w:val="0"/>
                      <w:sz w:val="21"/>
                      <w:szCs w:val="21"/>
                    </w:rPr>
                  </w:pPr>
                  <w:r>
                    <w:rPr>
                      <w:b/>
                      <w:bCs/>
                      <w:color w:val="auto"/>
                      <w:kern w:val="0"/>
                      <w:sz w:val="21"/>
                      <w:szCs w:val="21"/>
                    </w:rPr>
                    <w:t>项目</w:t>
                  </w:r>
                </w:p>
              </w:tc>
              <w:tc>
                <w:tcPr>
                  <w:tcW w:w="1055" w:type="dxa"/>
                  <w:noWrap w:val="0"/>
                  <w:vAlign w:val="center"/>
                </w:tcPr>
                <w:p>
                  <w:pPr>
                    <w:autoSpaceDE w:val="0"/>
                    <w:autoSpaceDN w:val="0"/>
                    <w:adjustRightInd w:val="0"/>
                    <w:jc w:val="center"/>
                    <w:rPr>
                      <w:b/>
                      <w:bCs/>
                      <w:color w:val="auto"/>
                      <w:kern w:val="0"/>
                      <w:sz w:val="21"/>
                      <w:szCs w:val="21"/>
                    </w:rPr>
                  </w:pPr>
                  <w:r>
                    <w:rPr>
                      <w:b/>
                      <w:bCs/>
                      <w:color w:val="auto"/>
                      <w:kern w:val="0"/>
                      <w:sz w:val="21"/>
                      <w:szCs w:val="21"/>
                    </w:rPr>
                    <w:t>COD</w:t>
                  </w:r>
                </w:p>
              </w:tc>
              <w:tc>
                <w:tcPr>
                  <w:tcW w:w="1106" w:type="dxa"/>
                  <w:noWrap w:val="0"/>
                  <w:vAlign w:val="center"/>
                </w:tcPr>
                <w:p>
                  <w:pPr>
                    <w:autoSpaceDE w:val="0"/>
                    <w:autoSpaceDN w:val="0"/>
                    <w:adjustRightInd w:val="0"/>
                    <w:jc w:val="center"/>
                    <w:rPr>
                      <w:b/>
                      <w:bCs/>
                      <w:color w:val="auto"/>
                      <w:kern w:val="0"/>
                      <w:sz w:val="21"/>
                      <w:szCs w:val="21"/>
                    </w:rPr>
                  </w:pPr>
                  <w:r>
                    <w:rPr>
                      <w:b/>
                      <w:bCs/>
                      <w:color w:val="auto"/>
                      <w:kern w:val="0"/>
                      <w:sz w:val="21"/>
                      <w:szCs w:val="21"/>
                    </w:rPr>
                    <w:t>BOD</w:t>
                  </w:r>
                  <w:r>
                    <w:rPr>
                      <w:b/>
                      <w:bCs/>
                      <w:color w:val="auto"/>
                      <w:kern w:val="0"/>
                      <w:sz w:val="21"/>
                      <w:szCs w:val="21"/>
                      <w:vertAlign w:val="subscript"/>
                    </w:rPr>
                    <w:t>5</w:t>
                  </w:r>
                </w:p>
              </w:tc>
              <w:tc>
                <w:tcPr>
                  <w:tcW w:w="1106" w:type="dxa"/>
                  <w:noWrap w:val="0"/>
                  <w:vAlign w:val="center"/>
                </w:tcPr>
                <w:p>
                  <w:pPr>
                    <w:autoSpaceDE w:val="0"/>
                    <w:autoSpaceDN w:val="0"/>
                    <w:adjustRightInd w:val="0"/>
                    <w:jc w:val="center"/>
                    <w:rPr>
                      <w:b/>
                      <w:bCs/>
                      <w:color w:val="auto"/>
                      <w:kern w:val="0"/>
                      <w:sz w:val="21"/>
                      <w:szCs w:val="21"/>
                    </w:rPr>
                  </w:pPr>
                  <w:r>
                    <w:rPr>
                      <w:rFonts w:hint="eastAsia"/>
                      <w:b/>
                      <w:bCs/>
                      <w:color w:val="auto"/>
                      <w:kern w:val="0"/>
                      <w:sz w:val="21"/>
                      <w:szCs w:val="21"/>
                    </w:rPr>
                    <w:t>SS</w:t>
                  </w:r>
                </w:p>
              </w:tc>
              <w:tc>
                <w:tcPr>
                  <w:tcW w:w="1106" w:type="dxa"/>
                  <w:noWrap w:val="0"/>
                  <w:vAlign w:val="center"/>
                </w:tcPr>
                <w:p>
                  <w:pPr>
                    <w:autoSpaceDE w:val="0"/>
                    <w:autoSpaceDN w:val="0"/>
                    <w:adjustRightInd w:val="0"/>
                    <w:jc w:val="center"/>
                    <w:rPr>
                      <w:b/>
                      <w:bCs/>
                      <w:color w:val="auto"/>
                      <w:kern w:val="0"/>
                      <w:sz w:val="21"/>
                      <w:szCs w:val="21"/>
                    </w:rPr>
                  </w:pPr>
                  <w:r>
                    <w:rPr>
                      <w:b/>
                      <w:bCs/>
                      <w:color w:val="auto"/>
                      <w:kern w:val="0"/>
                      <w:sz w:val="21"/>
                      <w:szCs w:val="21"/>
                    </w:rPr>
                    <w:t>NH</w:t>
                  </w:r>
                  <w:r>
                    <w:rPr>
                      <w:b/>
                      <w:bCs/>
                      <w:color w:val="auto"/>
                      <w:kern w:val="0"/>
                      <w:sz w:val="21"/>
                      <w:szCs w:val="21"/>
                      <w:vertAlign w:val="subscript"/>
                    </w:rPr>
                    <w:t>3</w:t>
                  </w:r>
                  <w:r>
                    <w:rPr>
                      <w:b/>
                      <w:bCs/>
                      <w:color w:val="auto"/>
                      <w:kern w:val="0"/>
                      <w:sz w:val="21"/>
                      <w:szCs w:val="21"/>
                    </w:rPr>
                    <w:t>-N</w:t>
                  </w:r>
                </w:p>
              </w:tc>
              <w:tc>
                <w:tcPr>
                  <w:tcW w:w="1034" w:type="dxa"/>
                  <w:noWrap w:val="0"/>
                  <w:vAlign w:val="center"/>
                </w:tcPr>
                <w:p>
                  <w:pPr>
                    <w:autoSpaceDE w:val="0"/>
                    <w:autoSpaceDN w:val="0"/>
                    <w:adjustRightInd w:val="0"/>
                    <w:jc w:val="center"/>
                    <w:rPr>
                      <w:b/>
                      <w:bCs/>
                      <w:color w:val="auto"/>
                      <w:kern w:val="0"/>
                      <w:sz w:val="21"/>
                      <w:szCs w:val="21"/>
                    </w:rPr>
                  </w:pPr>
                  <w:r>
                    <w:rPr>
                      <w:b/>
                      <w:bCs/>
                      <w:color w:val="auto"/>
                      <w:kern w:val="0"/>
                      <w:sz w:val="21"/>
                      <w:szCs w:val="21"/>
                    </w:rPr>
                    <w:t>TN</w:t>
                  </w:r>
                </w:p>
              </w:tc>
              <w:tc>
                <w:tcPr>
                  <w:tcW w:w="1031" w:type="dxa"/>
                  <w:noWrap w:val="0"/>
                  <w:vAlign w:val="center"/>
                </w:tcPr>
                <w:p>
                  <w:pPr>
                    <w:autoSpaceDE w:val="0"/>
                    <w:autoSpaceDN w:val="0"/>
                    <w:adjustRightInd w:val="0"/>
                    <w:jc w:val="center"/>
                    <w:rPr>
                      <w:b/>
                      <w:bCs/>
                      <w:color w:val="auto"/>
                      <w:kern w:val="0"/>
                      <w:sz w:val="21"/>
                      <w:szCs w:val="21"/>
                    </w:rPr>
                  </w:pPr>
                  <w:r>
                    <w:rPr>
                      <w:b/>
                      <w:bCs/>
                      <w:color w:val="auto"/>
                      <w:kern w:val="0"/>
                      <w:sz w:val="21"/>
                      <w:szCs w:val="21"/>
                    </w:rPr>
                    <w:t>TP</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8" w:hRule="atLeast"/>
                <w:jc w:val="center"/>
              </w:trPr>
              <w:tc>
                <w:tcPr>
                  <w:tcW w:w="1911" w:type="dxa"/>
                  <w:noWrap w:val="0"/>
                  <w:vAlign w:val="center"/>
                </w:tcPr>
                <w:p>
                  <w:pPr>
                    <w:autoSpaceDE w:val="0"/>
                    <w:autoSpaceDN w:val="0"/>
                    <w:adjustRightInd w:val="0"/>
                    <w:jc w:val="center"/>
                    <w:rPr>
                      <w:color w:val="auto"/>
                      <w:kern w:val="0"/>
                      <w:sz w:val="21"/>
                      <w:szCs w:val="21"/>
                    </w:rPr>
                  </w:pPr>
                  <w:r>
                    <w:rPr>
                      <w:color w:val="auto"/>
                      <w:kern w:val="0"/>
                      <w:sz w:val="21"/>
                      <w:szCs w:val="21"/>
                    </w:rPr>
                    <w:t>设计进水水质</w:t>
                  </w:r>
                </w:p>
              </w:tc>
              <w:tc>
                <w:tcPr>
                  <w:tcW w:w="1055" w:type="dxa"/>
                  <w:noWrap w:val="0"/>
                  <w:vAlign w:val="center"/>
                </w:tcPr>
                <w:p>
                  <w:pPr>
                    <w:autoSpaceDE w:val="0"/>
                    <w:autoSpaceDN w:val="0"/>
                    <w:adjustRightInd w:val="0"/>
                    <w:jc w:val="center"/>
                    <w:rPr>
                      <w:color w:val="auto"/>
                      <w:kern w:val="0"/>
                      <w:sz w:val="21"/>
                      <w:szCs w:val="21"/>
                    </w:rPr>
                  </w:pPr>
                  <w:r>
                    <w:rPr>
                      <w:bCs/>
                      <w:color w:val="auto"/>
                      <w:kern w:val="0"/>
                      <w:sz w:val="21"/>
                      <w:szCs w:val="21"/>
                    </w:rPr>
                    <w:t>≤</w:t>
                  </w:r>
                  <w:r>
                    <w:rPr>
                      <w:color w:val="auto"/>
                      <w:kern w:val="0"/>
                      <w:sz w:val="21"/>
                      <w:szCs w:val="21"/>
                    </w:rPr>
                    <w:t>350</w:t>
                  </w:r>
                </w:p>
              </w:tc>
              <w:tc>
                <w:tcPr>
                  <w:tcW w:w="1106" w:type="dxa"/>
                  <w:noWrap w:val="0"/>
                  <w:vAlign w:val="center"/>
                </w:tcPr>
                <w:p>
                  <w:pPr>
                    <w:autoSpaceDE w:val="0"/>
                    <w:autoSpaceDN w:val="0"/>
                    <w:adjustRightInd w:val="0"/>
                    <w:jc w:val="center"/>
                    <w:rPr>
                      <w:color w:val="auto"/>
                      <w:kern w:val="0"/>
                      <w:sz w:val="21"/>
                      <w:szCs w:val="21"/>
                    </w:rPr>
                  </w:pPr>
                  <w:r>
                    <w:rPr>
                      <w:bCs/>
                      <w:color w:val="auto"/>
                      <w:kern w:val="0"/>
                      <w:sz w:val="21"/>
                      <w:szCs w:val="21"/>
                    </w:rPr>
                    <w:t>≤</w:t>
                  </w:r>
                  <w:r>
                    <w:rPr>
                      <w:color w:val="auto"/>
                      <w:kern w:val="0"/>
                      <w:sz w:val="21"/>
                      <w:szCs w:val="21"/>
                    </w:rPr>
                    <w:t>150</w:t>
                  </w:r>
                </w:p>
              </w:tc>
              <w:tc>
                <w:tcPr>
                  <w:tcW w:w="1106" w:type="dxa"/>
                  <w:noWrap w:val="0"/>
                  <w:vAlign w:val="center"/>
                </w:tcPr>
                <w:p>
                  <w:pPr>
                    <w:autoSpaceDE w:val="0"/>
                    <w:autoSpaceDN w:val="0"/>
                    <w:adjustRightInd w:val="0"/>
                    <w:jc w:val="center"/>
                    <w:rPr>
                      <w:bCs/>
                      <w:color w:val="auto"/>
                      <w:kern w:val="0"/>
                      <w:sz w:val="21"/>
                      <w:szCs w:val="21"/>
                    </w:rPr>
                  </w:pPr>
                  <w:r>
                    <w:rPr>
                      <w:bCs/>
                      <w:color w:val="auto"/>
                      <w:kern w:val="0"/>
                      <w:sz w:val="21"/>
                      <w:szCs w:val="21"/>
                    </w:rPr>
                    <w:t>≤</w:t>
                  </w:r>
                  <w:r>
                    <w:rPr>
                      <w:rFonts w:hint="eastAsia"/>
                      <w:color w:val="auto"/>
                      <w:kern w:val="0"/>
                      <w:sz w:val="21"/>
                      <w:szCs w:val="21"/>
                    </w:rPr>
                    <w:t>150</w:t>
                  </w:r>
                </w:p>
              </w:tc>
              <w:tc>
                <w:tcPr>
                  <w:tcW w:w="1106" w:type="dxa"/>
                  <w:noWrap w:val="0"/>
                  <w:vAlign w:val="center"/>
                </w:tcPr>
                <w:p>
                  <w:pPr>
                    <w:autoSpaceDE w:val="0"/>
                    <w:autoSpaceDN w:val="0"/>
                    <w:adjustRightInd w:val="0"/>
                    <w:jc w:val="center"/>
                    <w:rPr>
                      <w:color w:val="auto"/>
                      <w:kern w:val="0"/>
                      <w:sz w:val="21"/>
                      <w:szCs w:val="21"/>
                    </w:rPr>
                  </w:pPr>
                  <w:r>
                    <w:rPr>
                      <w:bCs/>
                      <w:color w:val="auto"/>
                      <w:kern w:val="0"/>
                      <w:sz w:val="21"/>
                      <w:szCs w:val="21"/>
                    </w:rPr>
                    <w:t>≤</w:t>
                  </w:r>
                  <w:r>
                    <w:rPr>
                      <w:color w:val="auto"/>
                      <w:kern w:val="0"/>
                      <w:sz w:val="21"/>
                      <w:szCs w:val="21"/>
                    </w:rPr>
                    <w:t>30</w:t>
                  </w:r>
                </w:p>
              </w:tc>
              <w:tc>
                <w:tcPr>
                  <w:tcW w:w="1034" w:type="dxa"/>
                  <w:noWrap w:val="0"/>
                  <w:vAlign w:val="center"/>
                </w:tcPr>
                <w:p>
                  <w:pPr>
                    <w:autoSpaceDE w:val="0"/>
                    <w:autoSpaceDN w:val="0"/>
                    <w:adjustRightInd w:val="0"/>
                    <w:jc w:val="center"/>
                    <w:rPr>
                      <w:color w:val="auto"/>
                      <w:kern w:val="0"/>
                      <w:sz w:val="21"/>
                      <w:szCs w:val="21"/>
                    </w:rPr>
                  </w:pPr>
                  <w:r>
                    <w:rPr>
                      <w:bCs/>
                      <w:color w:val="auto"/>
                      <w:kern w:val="0"/>
                      <w:sz w:val="21"/>
                      <w:szCs w:val="21"/>
                    </w:rPr>
                    <w:t>≤</w:t>
                  </w:r>
                  <w:r>
                    <w:rPr>
                      <w:rFonts w:hint="eastAsia"/>
                      <w:color w:val="auto"/>
                      <w:kern w:val="0"/>
                      <w:sz w:val="21"/>
                      <w:szCs w:val="21"/>
                    </w:rPr>
                    <w:t>45</w:t>
                  </w:r>
                </w:p>
              </w:tc>
              <w:tc>
                <w:tcPr>
                  <w:tcW w:w="1031" w:type="dxa"/>
                  <w:noWrap w:val="0"/>
                  <w:vAlign w:val="center"/>
                </w:tcPr>
                <w:p>
                  <w:pPr>
                    <w:autoSpaceDE w:val="0"/>
                    <w:autoSpaceDN w:val="0"/>
                    <w:adjustRightInd w:val="0"/>
                    <w:jc w:val="center"/>
                    <w:rPr>
                      <w:color w:val="auto"/>
                      <w:kern w:val="0"/>
                      <w:sz w:val="21"/>
                      <w:szCs w:val="21"/>
                    </w:rPr>
                  </w:pPr>
                  <w:r>
                    <w:rPr>
                      <w:bCs/>
                      <w:color w:val="auto"/>
                      <w:kern w:val="0"/>
                      <w:sz w:val="21"/>
                      <w:szCs w:val="21"/>
                    </w:rPr>
                    <w:t>≤</w:t>
                  </w:r>
                  <w:r>
                    <w:rPr>
                      <w:rFonts w:hint="eastAsia"/>
                      <w:color w:val="auto"/>
                      <w:kern w:val="0"/>
                      <w:sz w:val="21"/>
                      <w:szCs w:val="21"/>
                    </w:rPr>
                    <w:t>5</w:t>
                  </w:r>
                </w:p>
              </w:tc>
            </w:tr>
          </w:tbl>
          <w:p>
            <w:pPr>
              <w:keepNext w:val="0"/>
              <w:keepLines w:val="0"/>
              <w:pageBreakBefore w:val="0"/>
              <w:widowControl w:val="0"/>
              <w:kinsoku/>
              <w:wordWrap/>
              <w:overflowPunct/>
              <w:topLinePunct w:val="0"/>
              <w:bidi w:val="0"/>
              <w:adjustRightInd/>
              <w:snapToGrid/>
              <w:spacing w:line="50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②设计出水水质指标</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根据尾水出水水质执行河北省《农村生活污水排放标准》（DB13/2171-2020）一级标准及</w:t>
            </w:r>
            <w:r>
              <w:rPr>
                <w:rFonts w:hint="default"/>
                <w:lang w:val="en-US" w:eastAsia="zh-CN"/>
              </w:rPr>
              <w:t>《农田灌溉水质标准》（GB5084-20</w:t>
            </w:r>
            <w:r>
              <w:rPr>
                <w:rFonts w:hint="eastAsia"/>
                <w:lang w:val="en-US" w:eastAsia="zh-CN"/>
              </w:rPr>
              <w:t>21</w:t>
            </w:r>
            <w:r>
              <w:rPr>
                <w:rFonts w:hint="default"/>
                <w:lang w:val="en-US" w:eastAsia="zh-CN"/>
              </w:rPr>
              <w:t>）表1中蔬菜限值。</w:t>
            </w:r>
            <w:r>
              <w:rPr>
                <w:rFonts w:hint="default" w:ascii="Times New Roman" w:hAnsi="Times New Roman" w:eastAsia="宋体" w:cs="Times New Roman"/>
                <w:color w:val="auto"/>
                <w:sz w:val="24"/>
                <w:szCs w:val="24"/>
              </w:rPr>
              <w:t>相关标准限值的情况列表如下：</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sz w:val="21"/>
                <w:szCs w:val="21"/>
              </w:rPr>
            </w:pPr>
            <w:r>
              <w:rPr>
                <w:b/>
                <w:color w:val="000000" w:themeColor="text1"/>
                <w:sz w:val="21"/>
                <w:szCs w:val="21"/>
                <w14:textFill>
                  <w14:solidFill>
                    <w14:schemeClr w14:val="tx1"/>
                  </w14:solidFill>
                </w14:textFill>
              </w:rPr>
              <w:t>表</w:t>
            </w:r>
            <w:r>
              <w:rPr>
                <w:rFonts w:hint="eastAsia"/>
                <w:b/>
                <w:color w:val="000000" w:themeColor="text1"/>
                <w:sz w:val="21"/>
                <w:szCs w:val="21"/>
                <w:lang w:val="en-US" w:eastAsia="zh-CN"/>
                <w14:textFill>
                  <w14:solidFill>
                    <w14:schemeClr w14:val="tx1"/>
                  </w14:solidFill>
                </w14:textFill>
              </w:rPr>
              <w:t>2-7</w:t>
            </w:r>
            <w:r>
              <w:rPr>
                <w:b/>
                <w:color w:val="000000" w:themeColor="text1"/>
                <w:sz w:val="21"/>
                <w:szCs w:val="21"/>
                <w14:textFill>
                  <w14:solidFill>
                    <w14:schemeClr w14:val="tx1"/>
                  </w14:solidFill>
                </w14:textFill>
              </w:rPr>
              <w:t xml:space="preserve"> </w:t>
            </w:r>
            <w:r>
              <w:rPr>
                <w:rFonts w:hint="eastAsia"/>
                <w:b/>
                <w:color w:val="000000" w:themeColor="text1"/>
                <w:sz w:val="21"/>
                <w:szCs w:val="21"/>
                <w:lang w:eastAsia="zh-CN"/>
                <w14:textFill>
                  <w14:solidFill>
                    <w14:schemeClr w14:val="tx1"/>
                  </w14:solidFill>
                </w14:textFill>
              </w:rPr>
              <w:t>排放标准</w:t>
            </w:r>
            <w:r>
              <w:rPr>
                <w:rFonts w:hint="eastAsia"/>
                <w:b/>
                <w:color w:val="000000" w:themeColor="text1"/>
                <w:sz w:val="21"/>
                <w:szCs w:val="21"/>
                <w14:textFill>
                  <w14:solidFill>
                    <w14:schemeClr w14:val="tx1"/>
                  </w14:solidFill>
                </w14:textFill>
              </w:rPr>
              <w:t>限值情况表</w:t>
            </w:r>
            <w:r>
              <w:rPr>
                <w:b/>
                <w:color w:val="000000" w:themeColor="text1"/>
                <w:sz w:val="21"/>
                <w:szCs w:val="21"/>
                <w14:textFill>
                  <w14:solidFill>
                    <w14:schemeClr w14:val="tx1"/>
                  </w14:solidFill>
                </w14:textFill>
              </w:rPr>
              <w:t>（单位：mg/L）</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1"/>
              <w:gridCol w:w="1709"/>
              <w:gridCol w:w="1001"/>
              <w:gridCol w:w="2745"/>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4" w:hRule="atLeast"/>
                <w:jc w:val="center"/>
              </w:trPr>
              <w:tc>
                <w:tcPr>
                  <w:tcW w:w="372"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序号</w:t>
                  </w:r>
                </w:p>
              </w:tc>
              <w:tc>
                <w:tcPr>
                  <w:tcW w:w="1024"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基本控制项目</w:t>
                  </w:r>
                </w:p>
              </w:tc>
              <w:tc>
                <w:tcPr>
                  <w:tcW w:w="600"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单位</w:t>
                  </w:r>
                </w:p>
              </w:tc>
              <w:tc>
                <w:tcPr>
                  <w:tcW w:w="1645"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sz w:val="21"/>
                      <w:szCs w:val="21"/>
                      <w:lang w:eastAsia="zh-CN"/>
                    </w:rPr>
                    <w:t>DB13</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eastAsia="zh-CN"/>
                    </w:rPr>
                    <w:t>2171</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eastAsia="zh-CN"/>
                    </w:rPr>
                    <w:t>20</w:t>
                  </w:r>
                  <w:r>
                    <w:rPr>
                      <w:rFonts w:hint="default" w:ascii="Times New Roman" w:hAnsi="Times New Roman" w:eastAsia="宋体" w:cs="Times New Roman"/>
                      <w:b/>
                      <w:bCs/>
                      <w:color w:val="auto"/>
                      <w:sz w:val="21"/>
                      <w:szCs w:val="21"/>
                      <w:lang w:val="en-US" w:eastAsia="zh-CN"/>
                    </w:rPr>
                    <w:t>20</w:t>
                  </w:r>
                  <w:r>
                    <w:rPr>
                      <w:rFonts w:hint="default" w:ascii="Times New Roman" w:hAnsi="Times New Roman" w:eastAsia="宋体" w:cs="Times New Roman"/>
                      <w:b/>
                      <w:color w:val="auto"/>
                      <w:sz w:val="21"/>
                      <w:szCs w:val="21"/>
                    </w:rPr>
                    <w:t>（</w:t>
                  </w:r>
                  <w:r>
                    <w:rPr>
                      <w:rFonts w:hint="default" w:ascii="Times New Roman" w:hAnsi="Times New Roman" w:eastAsia="宋体" w:cs="Times New Roman"/>
                      <w:b/>
                      <w:color w:val="auto"/>
                      <w:sz w:val="21"/>
                      <w:szCs w:val="21"/>
                      <w:lang w:eastAsia="zh-CN"/>
                    </w:rPr>
                    <w:t>一级</w:t>
                  </w:r>
                  <w:r>
                    <w:rPr>
                      <w:rFonts w:hint="default" w:ascii="Times New Roman" w:hAnsi="Times New Roman" w:eastAsia="宋体" w:cs="Times New Roman"/>
                      <w:b/>
                      <w:bCs/>
                      <w:color w:val="auto"/>
                      <w:kern w:val="0"/>
                      <w:sz w:val="21"/>
                      <w:szCs w:val="21"/>
                    </w:rPr>
                    <w:t>标准</w:t>
                  </w:r>
                  <w:r>
                    <w:rPr>
                      <w:rFonts w:hint="default" w:ascii="Times New Roman" w:hAnsi="Times New Roman" w:eastAsia="宋体" w:cs="Times New Roman"/>
                      <w:b/>
                      <w:color w:val="auto"/>
                      <w:sz w:val="21"/>
                      <w:szCs w:val="21"/>
                    </w:rPr>
                    <w:t>）</w:t>
                  </w:r>
                </w:p>
              </w:tc>
              <w:tc>
                <w:tcPr>
                  <w:tcW w:w="1357"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
                      <w:bCs/>
                      <w:color w:val="auto"/>
                      <w:sz w:val="21"/>
                      <w:szCs w:val="21"/>
                      <w:lang w:eastAsia="zh-CN"/>
                    </w:rPr>
                  </w:pPr>
                  <w:r>
                    <w:rPr>
                      <w:rFonts w:hint="default"/>
                      <w:b/>
                      <w:bCs/>
                      <w:sz w:val="21"/>
                      <w:szCs w:val="21"/>
                      <w:lang w:val="en-US" w:eastAsia="zh-CN"/>
                    </w:rPr>
                    <w:t>（GB5084-20</w:t>
                  </w:r>
                  <w:r>
                    <w:rPr>
                      <w:rFonts w:hint="eastAsia"/>
                      <w:b/>
                      <w:bCs/>
                      <w:sz w:val="21"/>
                      <w:szCs w:val="21"/>
                      <w:lang w:val="en-US" w:eastAsia="zh-CN"/>
                    </w:rPr>
                    <w:t>21</w:t>
                  </w:r>
                  <w:r>
                    <w:rPr>
                      <w:rFonts w:hint="default"/>
                      <w:b/>
                      <w:bCs/>
                      <w:sz w:val="21"/>
                      <w:szCs w:val="21"/>
                      <w:lang w:val="en-US" w:eastAsia="zh-CN"/>
                    </w:rPr>
                    <w:t>）</w:t>
                  </w:r>
                  <w:r>
                    <w:rPr>
                      <w:rFonts w:hint="eastAsia"/>
                      <w:b/>
                      <w:bCs/>
                      <w:sz w:val="21"/>
                      <w:szCs w:val="21"/>
                      <w:lang w:val="en-US" w:eastAsia="zh-CN"/>
                    </w:rPr>
                    <w:t>蔬菜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72"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024"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kern w:val="0"/>
                      <w:sz w:val="21"/>
                      <w:szCs w:val="21"/>
                    </w:rPr>
                    <w:t>pH</w:t>
                  </w:r>
                </w:p>
              </w:tc>
              <w:tc>
                <w:tcPr>
                  <w:tcW w:w="600"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无量纲</w:t>
                  </w:r>
                </w:p>
              </w:tc>
              <w:tc>
                <w:tcPr>
                  <w:tcW w:w="1645"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rPr>
                    <w:t>6-9</w:t>
                  </w:r>
                </w:p>
              </w:tc>
              <w:tc>
                <w:tcPr>
                  <w:tcW w:w="1357"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5.5-8.5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jc w:val="center"/>
              </w:trPr>
              <w:tc>
                <w:tcPr>
                  <w:tcW w:w="372" w:type="pct"/>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val="en-US" w:eastAsia="zh-CN"/>
                    </w:rPr>
                    <w:t>2</w:t>
                  </w:r>
                </w:p>
              </w:tc>
              <w:tc>
                <w:tcPr>
                  <w:tcW w:w="1024"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化学需氧量（COD）</w:t>
                  </w:r>
                </w:p>
              </w:tc>
              <w:tc>
                <w:tcPr>
                  <w:tcW w:w="600"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mg/L</w:t>
                  </w:r>
                </w:p>
              </w:tc>
              <w:tc>
                <w:tcPr>
                  <w:tcW w:w="1645"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50</w:t>
                  </w:r>
                </w:p>
              </w:tc>
              <w:tc>
                <w:tcPr>
                  <w:tcW w:w="1357"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72" w:type="pct"/>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w:t>
                  </w:r>
                </w:p>
              </w:tc>
              <w:tc>
                <w:tcPr>
                  <w:tcW w:w="1024"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生化需氧量（BOD</w:t>
                  </w:r>
                  <w:r>
                    <w:rPr>
                      <w:rFonts w:hint="default" w:ascii="Times New Roman" w:hAnsi="Times New Roman" w:eastAsia="宋体" w:cs="Times New Roman"/>
                      <w:bCs/>
                      <w:color w:val="auto"/>
                      <w:kern w:val="0"/>
                      <w:sz w:val="21"/>
                      <w:szCs w:val="21"/>
                      <w:vertAlign w:val="subscript"/>
                    </w:rPr>
                    <w:t>5</w:t>
                  </w:r>
                  <w:r>
                    <w:rPr>
                      <w:rFonts w:hint="default" w:ascii="Times New Roman" w:hAnsi="Times New Roman" w:eastAsia="宋体" w:cs="Times New Roman"/>
                      <w:bCs/>
                      <w:color w:val="auto"/>
                      <w:kern w:val="0"/>
                      <w:sz w:val="21"/>
                      <w:szCs w:val="21"/>
                    </w:rPr>
                    <w:t>）</w:t>
                  </w:r>
                </w:p>
              </w:tc>
              <w:tc>
                <w:tcPr>
                  <w:tcW w:w="600"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mg/L</w:t>
                  </w:r>
                </w:p>
              </w:tc>
              <w:tc>
                <w:tcPr>
                  <w:tcW w:w="1645"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bCs/>
                      <w:color w:val="auto"/>
                      <w:kern w:val="0"/>
                      <w:sz w:val="21"/>
                      <w:szCs w:val="21"/>
                      <w:lang w:val="en-US" w:eastAsia="zh-CN"/>
                    </w:rPr>
                    <w:t>/</w:t>
                  </w:r>
                </w:p>
              </w:tc>
              <w:tc>
                <w:tcPr>
                  <w:tcW w:w="1357"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jc w:val="center"/>
              </w:trPr>
              <w:tc>
                <w:tcPr>
                  <w:tcW w:w="372" w:type="pct"/>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w:t>
                  </w:r>
                </w:p>
              </w:tc>
              <w:tc>
                <w:tcPr>
                  <w:tcW w:w="1024"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悬浮物（SS）</w:t>
                  </w:r>
                </w:p>
              </w:tc>
              <w:tc>
                <w:tcPr>
                  <w:tcW w:w="600"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mg/L</w:t>
                  </w:r>
                </w:p>
              </w:tc>
              <w:tc>
                <w:tcPr>
                  <w:tcW w:w="1645"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10</w:t>
                  </w:r>
                </w:p>
              </w:tc>
              <w:tc>
                <w:tcPr>
                  <w:tcW w:w="1357"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jc w:val="center"/>
              </w:trPr>
              <w:tc>
                <w:tcPr>
                  <w:tcW w:w="372" w:type="pct"/>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w:t>
                  </w:r>
                </w:p>
              </w:tc>
              <w:tc>
                <w:tcPr>
                  <w:tcW w:w="1024"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氨氮（以N计）*</w:t>
                  </w:r>
                </w:p>
              </w:tc>
              <w:tc>
                <w:tcPr>
                  <w:tcW w:w="600"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mg/L</w:t>
                  </w:r>
                </w:p>
              </w:tc>
              <w:tc>
                <w:tcPr>
                  <w:tcW w:w="1645"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5（8）</w:t>
                  </w:r>
                </w:p>
              </w:tc>
              <w:tc>
                <w:tcPr>
                  <w:tcW w:w="1357"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jc w:val="center"/>
              </w:trPr>
              <w:tc>
                <w:tcPr>
                  <w:tcW w:w="372" w:type="pct"/>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6</w:t>
                  </w:r>
                </w:p>
              </w:tc>
              <w:tc>
                <w:tcPr>
                  <w:tcW w:w="1024"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总氮（以N计）</w:t>
                  </w:r>
                </w:p>
              </w:tc>
              <w:tc>
                <w:tcPr>
                  <w:tcW w:w="600"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mg/L</w:t>
                  </w:r>
                </w:p>
              </w:tc>
              <w:tc>
                <w:tcPr>
                  <w:tcW w:w="1645"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15</w:t>
                  </w:r>
                </w:p>
              </w:tc>
              <w:tc>
                <w:tcPr>
                  <w:tcW w:w="1357" w:type="pct"/>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jc w:val="center"/>
              </w:trPr>
              <w:tc>
                <w:tcPr>
                  <w:tcW w:w="372" w:type="pct"/>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7</w:t>
                  </w:r>
                </w:p>
              </w:tc>
              <w:tc>
                <w:tcPr>
                  <w:tcW w:w="1024"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总磷（以P计）</w:t>
                  </w:r>
                </w:p>
              </w:tc>
              <w:tc>
                <w:tcPr>
                  <w:tcW w:w="600"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mg/L</w:t>
                  </w:r>
                </w:p>
              </w:tc>
              <w:tc>
                <w:tcPr>
                  <w:tcW w:w="1645"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0.5</w:t>
                  </w:r>
                </w:p>
              </w:tc>
              <w:tc>
                <w:tcPr>
                  <w:tcW w:w="1357" w:type="pct"/>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2" w:firstLineChars="200"/>
              <w:jc w:val="left"/>
              <w:textAlignment w:val="auto"/>
              <w:rPr>
                <w:rFonts w:hint="eastAsia" w:ascii="Times New Roman" w:hAnsi="Times New Roman" w:eastAsia="宋体" w:cs="Times New Roman"/>
                <w:b/>
                <w:bCs/>
                <w:color w:val="auto"/>
                <w:kern w:val="0"/>
                <w:sz w:val="24"/>
                <w:szCs w:val="24"/>
                <w:highlight w:val="none"/>
                <w:lang w:eastAsia="zh-CN"/>
              </w:rPr>
            </w:pPr>
            <w:r>
              <w:rPr>
                <w:rFonts w:hint="eastAsia" w:ascii="Times New Roman" w:hAnsi="Times New Roman" w:eastAsia="宋体" w:cs="Times New Roman"/>
                <w:b/>
                <w:bCs/>
                <w:color w:val="auto"/>
                <w:kern w:val="0"/>
                <w:sz w:val="24"/>
                <w:szCs w:val="24"/>
                <w:highlight w:val="none"/>
                <w:lang w:val="en-US" w:eastAsia="zh-CN"/>
              </w:rPr>
              <w:t>3、</w:t>
            </w:r>
            <w:r>
              <w:rPr>
                <w:rFonts w:hint="eastAsia" w:ascii="Times New Roman" w:hAnsi="Times New Roman" w:eastAsia="宋体" w:cs="Times New Roman"/>
                <w:b/>
                <w:bCs/>
                <w:color w:val="auto"/>
                <w:kern w:val="0"/>
                <w:sz w:val="24"/>
                <w:szCs w:val="24"/>
                <w:highlight w:val="none"/>
                <w:lang w:eastAsia="zh-CN"/>
              </w:rPr>
              <w:t>给排水工程</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2"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rPr>
              <w:t>给水：</w:t>
            </w:r>
            <w:r>
              <w:rPr>
                <w:rFonts w:hint="default" w:ascii="Times New Roman" w:hAnsi="Times New Roman" w:eastAsia="宋体" w:cs="Times New Roman"/>
                <w:color w:val="auto"/>
                <w:kern w:val="24"/>
                <w:sz w:val="24"/>
                <w:szCs w:val="24"/>
                <w:highlight w:val="none"/>
              </w:rPr>
              <w:t>本项目</w:t>
            </w:r>
            <w:r>
              <w:rPr>
                <w:rFonts w:hint="default" w:ascii="Times New Roman" w:hAnsi="Times New Roman" w:eastAsia="宋体" w:cs="Times New Roman"/>
                <w:color w:val="auto"/>
                <w:kern w:val="24"/>
                <w:sz w:val="24"/>
                <w:szCs w:val="24"/>
                <w:highlight w:val="none"/>
                <w:lang w:val="en-US" w:eastAsia="zh-CN"/>
              </w:rPr>
              <w:t>施工期</w:t>
            </w:r>
            <w:r>
              <w:rPr>
                <w:rFonts w:hint="default" w:ascii="Times New Roman" w:hAnsi="Times New Roman" w:eastAsia="宋体" w:cs="Times New Roman"/>
                <w:color w:val="auto"/>
                <w:kern w:val="24"/>
                <w:sz w:val="24"/>
                <w:szCs w:val="24"/>
                <w:highlight w:val="none"/>
              </w:rPr>
              <w:t>用水</w:t>
            </w:r>
            <w:r>
              <w:rPr>
                <w:rFonts w:hint="default" w:ascii="Times New Roman" w:hAnsi="Times New Roman" w:eastAsia="宋体" w:cs="Times New Roman"/>
                <w:color w:val="auto"/>
                <w:kern w:val="24"/>
                <w:sz w:val="24"/>
                <w:szCs w:val="24"/>
                <w:highlight w:val="none"/>
                <w:lang w:val="en-US" w:eastAsia="zh-CN"/>
              </w:rPr>
              <w:t>包括管网试水、施工期车辆清洗用水、施工期抑尘用水及生活用水，施工期车辆清洗用水及抑尘用水由河道内抽取，施工人员生活用水由当地水井取水，</w:t>
            </w:r>
            <w:r>
              <w:rPr>
                <w:rFonts w:hint="default" w:ascii="Times New Roman" w:hAnsi="Times New Roman" w:eastAsia="宋体" w:cs="Times New Roman"/>
                <w:color w:val="auto"/>
                <w:kern w:val="24"/>
                <w:sz w:val="24"/>
                <w:szCs w:val="24"/>
                <w:highlight w:val="none"/>
                <w:lang w:eastAsia="zh-CN"/>
              </w:rPr>
              <w:t>可满足项目需求。项目总用水量为</w:t>
            </w:r>
            <w:r>
              <w:rPr>
                <w:rFonts w:hint="eastAsia" w:cs="Times New Roman"/>
                <w:color w:val="auto"/>
                <w:kern w:val="24"/>
                <w:sz w:val="24"/>
                <w:szCs w:val="24"/>
                <w:highlight w:val="none"/>
                <w:lang w:val="en-US" w:eastAsia="zh-CN"/>
              </w:rPr>
              <w:t>824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工期，新鲜水用量为</w:t>
            </w:r>
            <w:r>
              <w:rPr>
                <w:rFonts w:hint="eastAsia" w:cs="Times New Roman"/>
                <w:color w:val="auto"/>
                <w:sz w:val="24"/>
                <w:szCs w:val="24"/>
                <w:highlight w:val="none"/>
                <w:lang w:val="en-US" w:eastAsia="zh-CN"/>
              </w:rPr>
              <w:t>698</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工期，循环水量为</w:t>
            </w:r>
            <w:r>
              <w:rPr>
                <w:rFonts w:hint="eastAsia" w:cs="Times New Roman"/>
                <w:color w:val="auto"/>
                <w:sz w:val="24"/>
                <w:szCs w:val="24"/>
                <w:highlight w:val="none"/>
                <w:lang w:val="en-US" w:eastAsia="zh-CN"/>
              </w:rPr>
              <w:t>126</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工期。</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kern w:val="24"/>
                <w:sz w:val="24"/>
                <w:szCs w:val="24"/>
                <w:highlight w:val="none"/>
              </w:rPr>
            </w:pPr>
            <w:r>
              <w:rPr>
                <w:rFonts w:hint="default" w:ascii="Times New Roman" w:hAnsi="Times New Roman" w:eastAsia="宋体" w:cs="Times New Roman"/>
                <w:color w:val="auto"/>
                <w:sz w:val="24"/>
                <w:szCs w:val="24"/>
                <w:highlight w:val="none"/>
                <w:lang w:eastAsia="zh-CN"/>
              </w:rPr>
              <w:t>施工期车辆清洗用水量为</w:t>
            </w:r>
            <w:r>
              <w:rPr>
                <w:rFonts w:hint="default" w:ascii="Times New Roman" w:hAnsi="Times New Roman" w:eastAsia="宋体" w:cs="Times New Roman"/>
                <w:color w:val="auto"/>
                <w:sz w:val="24"/>
                <w:szCs w:val="24"/>
                <w:highlight w:val="none"/>
                <w:lang w:val="en-US" w:eastAsia="zh-CN"/>
              </w:rPr>
              <w:t>1m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val="en-US" w:eastAsia="zh-CN"/>
              </w:rPr>
              <w:t>180m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工期</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，其中</w:t>
            </w:r>
            <w:r>
              <w:rPr>
                <w:rFonts w:hint="default" w:ascii="Times New Roman" w:hAnsi="Times New Roman" w:eastAsia="宋体" w:cs="Times New Roman"/>
                <w:color w:val="auto"/>
                <w:kern w:val="24"/>
                <w:sz w:val="24"/>
                <w:szCs w:val="24"/>
                <w:highlight w:val="none"/>
              </w:rPr>
              <w:t>新水用量</w:t>
            </w:r>
            <w:r>
              <w:rPr>
                <w:rFonts w:hint="default" w:ascii="Times New Roman" w:hAnsi="Times New Roman" w:eastAsia="宋体" w:cs="Times New Roman"/>
                <w:color w:val="auto"/>
                <w:kern w:val="24"/>
                <w:sz w:val="24"/>
                <w:szCs w:val="24"/>
                <w:highlight w:val="none"/>
                <w:lang w:val="en-US" w:eastAsia="zh-CN"/>
              </w:rPr>
              <w:t>0.3</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kern w:val="24"/>
                <w:sz w:val="24"/>
                <w:szCs w:val="24"/>
                <w:highlight w:val="none"/>
              </w:rPr>
              <w:t>/d</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54</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工期</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24"/>
                <w:sz w:val="24"/>
                <w:szCs w:val="24"/>
                <w:highlight w:val="none"/>
              </w:rPr>
              <w:t>，</w:t>
            </w:r>
            <w:r>
              <w:rPr>
                <w:rFonts w:hint="default" w:ascii="Times New Roman" w:hAnsi="Times New Roman" w:eastAsia="宋体" w:cs="Times New Roman"/>
                <w:color w:val="auto"/>
                <w:kern w:val="24"/>
                <w:sz w:val="24"/>
                <w:szCs w:val="24"/>
                <w:highlight w:val="none"/>
                <w:lang w:eastAsia="zh-CN"/>
              </w:rPr>
              <w:t>循环用水量</w:t>
            </w:r>
            <w:r>
              <w:rPr>
                <w:rFonts w:hint="default" w:ascii="Times New Roman" w:hAnsi="Times New Roman" w:eastAsia="宋体" w:cs="Times New Roman"/>
                <w:color w:val="auto"/>
                <w:kern w:val="24"/>
                <w:sz w:val="24"/>
                <w:szCs w:val="24"/>
                <w:highlight w:val="none"/>
                <w:lang w:val="en-US" w:eastAsia="zh-CN"/>
              </w:rPr>
              <w:t>0.7</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kern w:val="24"/>
                <w:sz w:val="24"/>
                <w:szCs w:val="24"/>
                <w:highlight w:val="none"/>
              </w:rPr>
              <w:t>/d</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126</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工期）；施工期</w:t>
            </w:r>
            <w:r>
              <w:rPr>
                <w:rFonts w:hint="default" w:ascii="Times New Roman" w:hAnsi="Times New Roman" w:eastAsia="宋体" w:cs="Times New Roman"/>
                <w:color w:val="auto"/>
                <w:sz w:val="24"/>
                <w:szCs w:val="24"/>
                <w:highlight w:val="none"/>
                <w:lang w:val="en-US" w:eastAsia="zh-CN"/>
              </w:rPr>
              <w:t>抑尘用水量为2m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val="en-US" w:eastAsia="zh-CN"/>
              </w:rPr>
              <w:t>360m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工期</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；闭水试压</w:t>
            </w:r>
            <w:r>
              <w:rPr>
                <w:rFonts w:hint="default" w:ascii="Times New Roman" w:hAnsi="Times New Roman" w:eastAsia="宋体" w:cs="Times New Roman"/>
                <w:color w:val="auto"/>
                <w:sz w:val="24"/>
                <w:szCs w:val="24"/>
                <w:highlight w:val="none"/>
                <w:lang w:val="en-US" w:eastAsia="zh-CN"/>
              </w:rPr>
              <w:t>500</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kern w:val="24"/>
                <w:sz w:val="24"/>
                <w:szCs w:val="24"/>
                <w:highlight w:val="none"/>
                <w:lang w:eastAsia="zh-CN"/>
              </w:rPr>
            </w:pPr>
            <w:r>
              <w:rPr>
                <w:rFonts w:hint="default" w:ascii="Times New Roman" w:hAnsi="Times New Roman" w:eastAsia="宋体" w:cs="Times New Roman"/>
                <w:color w:val="auto"/>
                <w:kern w:val="24"/>
                <w:sz w:val="24"/>
                <w:szCs w:val="24"/>
                <w:highlight w:val="none"/>
                <w:lang w:eastAsia="zh-CN"/>
              </w:rPr>
              <w:t>施工期生活用水：</w:t>
            </w: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rPr>
              <w:t>施工期</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个月</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施工</w:t>
            </w:r>
            <w:r>
              <w:rPr>
                <w:rFonts w:hint="default" w:ascii="Times New Roman" w:hAnsi="Times New Roman" w:eastAsia="宋体" w:cs="Times New Roman"/>
                <w:color w:val="auto"/>
                <w:sz w:val="24"/>
                <w:szCs w:val="24"/>
              </w:rPr>
              <w:t>人员</w:t>
            </w:r>
            <w:r>
              <w:rPr>
                <w:rFonts w:hint="default" w:ascii="Times New Roman" w:hAnsi="Times New Roman" w:eastAsia="宋体" w:cs="Times New Roman"/>
                <w:color w:val="auto"/>
                <w:sz w:val="24"/>
                <w:szCs w:val="24"/>
                <w:lang w:val="en-US" w:eastAsia="zh-CN"/>
              </w:rPr>
              <w:t>每人每天</w:t>
            </w:r>
            <w:r>
              <w:rPr>
                <w:rFonts w:hint="default" w:ascii="Times New Roman" w:hAnsi="Times New Roman" w:eastAsia="宋体" w:cs="Times New Roman"/>
                <w:color w:val="auto"/>
                <w:sz w:val="24"/>
                <w:szCs w:val="24"/>
              </w:rPr>
              <w:t>生活</w:t>
            </w:r>
            <w:r>
              <w:rPr>
                <w:rFonts w:hint="default" w:ascii="Times New Roman" w:hAnsi="Times New Roman" w:eastAsia="宋体" w:cs="Times New Roman"/>
                <w:color w:val="auto"/>
                <w:sz w:val="24"/>
                <w:szCs w:val="24"/>
                <w:lang w:val="en-US" w:eastAsia="zh-CN"/>
              </w:rPr>
              <w:t>用</w:t>
            </w:r>
            <w:r>
              <w:rPr>
                <w:rFonts w:hint="default" w:ascii="Times New Roman" w:hAnsi="Times New Roman" w:eastAsia="宋体" w:cs="Times New Roman"/>
                <w:color w:val="auto"/>
                <w:sz w:val="24"/>
                <w:szCs w:val="24"/>
              </w:rPr>
              <w:t>水产生量为</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0L，</w:t>
            </w:r>
            <w:r>
              <w:rPr>
                <w:rFonts w:hint="default" w:ascii="Times New Roman" w:hAnsi="Times New Roman" w:eastAsia="宋体" w:cs="Times New Roman"/>
                <w:color w:val="auto"/>
                <w:sz w:val="24"/>
                <w:szCs w:val="24"/>
                <w:lang w:eastAsia="zh-CN"/>
              </w:rPr>
              <w:t>施工人员</w:t>
            </w:r>
            <w:r>
              <w:rPr>
                <w:rFonts w:hint="default" w:ascii="Times New Roman" w:hAnsi="Times New Roman" w:eastAsia="宋体" w:cs="Times New Roman"/>
                <w:color w:val="auto"/>
                <w:sz w:val="24"/>
                <w:szCs w:val="24"/>
                <w:lang w:val="en-US" w:eastAsia="zh-CN"/>
              </w:rPr>
              <w:t>40人，则用水</w:t>
            </w:r>
            <w:r>
              <w:rPr>
                <w:rFonts w:hint="default" w:ascii="Times New Roman" w:hAnsi="Times New Roman" w:eastAsia="宋体" w:cs="Times New Roman"/>
                <w:color w:val="auto"/>
                <w:sz w:val="24"/>
                <w:szCs w:val="24"/>
              </w:rPr>
              <w:t>总量为</w:t>
            </w:r>
            <w:r>
              <w:rPr>
                <w:rFonts w:hint="default" w:ascii="Times New Roman" w:hAnsi="Times New Roman" w:eastAsia="宋体" w:cs="Times New Roman"/>
                <w:color w:val="auto"/>
                <w:sz w:val="24"/>
                <w:szCs w:val="24"/>
                <w:lang w:val="en-US" w:eastAsia="zh-CN"/>
              </w:rPr>
              <w:t>0.8m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val="en-US" w:eastAsia="zh-CN"/>
              </w:rPr>
              <w:t>144m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highlight w:val="none"/>
                <w:lang w:eastAsia="zh-CN"/>
              </w:rPr>
              <w:t>工期</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w:t>
            </w:r>
          </w:p>
          <w:p>
            <w:pPr>
              <w:pStyle w:val="20"/>
              <w:keepNext w:val="0"/>
              <w:keepLines w:val="0"/>
              <w:pageBreakBefore w:val="0"/>
              <w:widowControl w:val="0"/>
              <w:kinsoku/>
              <w:wordWrap/>
              <w:overflowPunct/>
              <w:topLinePunct w:val="0"/>
              <w:bidi w:val="0"/>
              <w:adjustRightInd w:val="0"/>
              <w:snapToGrid/>
              <w:spacing w:line="500" w:lineRule="exact"/>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运营期生活用水：本项目无职工生活用水产生，项目生活用水为沥水沟居民用水，居民</w:t>
            </w:r>
            <w:r>
              <w:rPr>
                <w:rFonts w:hint="default" w:ascii="Times New Roman" w:hAnsi="Times New Roman" w:eastAsia="宋体" w:cs="Times New Roman"/>
                <w:color w:val="auto"/>
                <w:sz w:val="24"/>
                <w:szCs w:val="24"/>
                <w:lang w:val="en-US" w:eastAsia="zh-CN"/>
              </w:rPr>
              <w:t>每人每天</w:t>
            </w:r>
            <w:r>
              <w:rPr>
                <w:rFonts w:hint="default" w:ascii="Times New Roman" w:hAnsi="Times New Roman" w:eastAsia="宋体" w:cs="Times New Roman"/>
                <w:color w:val="auto"/>
                <w:sz w:val="24"/>
                <w:szCs w:val="24"/>
              </w:rPr>
              <w:t>生活</w:t>
            </w:r>
            <w:r>
              <w:rPr>
                <w:rFonts w:hint="default" w:ascii="Times New Roman" w:hAnsi="Times New Roman" w:eastAsia="宋体" w:cs="Times New Roman"/>
                <w:color w:val="auto"/>
                <w:sz w:val="24"/>
                <w:szCs w:val="24"/>
                <w:lang w:val="en-US" w:eastAsia="zh-CN"/>
              </w:rPr>
              <w:t>用</w:t>
            </w:r>
            <w:r>
              <w:rPr>
                <w:rFonts w:hint="default" w:ascii="Times New Roman" w:hAnsi="Times New Roman" w:eastAsia="宋体" w:cs="Times New Roman"/>
                <w:color w:val="auto"/>
                <w:sz w:val="24"/>
                <w:szCs w:val="24"/>
              </w:rPr>
              <w:t>水产生量为</w:t>
            </w:r>
            <w:r>
              <w:rPr>
                <w:rFonts w:hint="default" w:ascii="Times New Roman" w:hAnsi="Times New Roman" w:eastAsia="宋体" w:cs="Times New Roman"/>
                <w:color w:val="auto"/>
                <w:sz w:val="24"/>
                <w:szCs w:val="24"/>
                <w:lang w:val="en-US" w:eastAsia="zh-CN"/>
              </w:rPr>
              <w:t>100</w:t>
            </w:r>
            <w:r>
              <w:rPr>
                <w:rFonts w:hint="default" w:ascii="Times New Roman" w:hAnsi="Times New Roman" w:eastAsia="宋体" w:cs="Times New Roman"/>
                <w:color w:val="auto"/>
                <w:sz w:val="24"/>
                <w:szCs w:val="24"/>
              </w:rPr>
              <w:t>L</w:t>
            </w:r>
            <w:r>
              <w:rPr>
                <w:rFonts w:hint="default" w:ascii="Times New Roman" w:hAnsi="Times New Roman" w:eastAsia="宋体" w:cs="Times New Roman"/>
                <w:color w:val="auto"/>
                <w:sz w:val="24"/>
                <w:szCs w:val="24"/>
                <w:lang w:eastAsia="zh-CN"/>
              </w:rPr>
              <w:t>，居民人数为</w:t>
            </w:r>
            <w:r>
              <w:rPr>
                <w:rFonts w:hint="default" w:ascii="Times New Roman" w:hAnsi="Times New Roman" w:eastAsia="宋体" w:cs="Times New Roman"/>
                <w:color w:val="auto"/>
                <w:sz w:val="24"/>
                <w:szCs w:val="24"/>
                <w:lang w:val="en-US" w:eastAsia="zh-CN"/>
              </w:rPr>
              <w:t>380人，则用水</w:t>
            </w:r>
            <w:r>
              <w:rPr>
                <w:rFonts w:hint="default" w:ascii="Times New Roman" w:hAnsi="Times New Roman" w:eastAsia="宋体" w:cs="Times New Roman"/>
                <w:color w:val="auto"/>
                <w:sz w:val="24"/>
                <w:szCs w:val="24"/>
              </w:rPr>
              <w:t>总量为</w:t>
            </w:r>
            <w:r>
              <w:rPr>
                <w:rFonts w:hint="default" w:ascii="Times New Roman" w:hAnsi="Times New Roman" w:eastAsia="宋体" w:cs="Times New Roman"/>
                <w:color w:val="auto"/>
                <w:sz w:val="24"/>
                <w:szCs w:val="24"/>
                <w:lang w:val="en-US" w:eastAsia="zh-CN"/>
              </w:rPr>
              <w:t>38m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val="en-US" w:eastAsia="zh-CN"/>
              </w:rPr>
              <w:t>13870m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rPr>
              <w:t>）</w:t>
            </w:r>
            <w:r>
              <w:rPr>
                <w:rFonts w:hint="default"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482" w:firstLineChars="200"/>
              <w:jc w:val="left"/>
              <w:textAlignment w:val="auto"/>
              <w:outlineLvl w:val="9"/>
              <w:rPr>
                <w:rFonts w:hint="default" w:ascii="Times New Roman" w:hAnsi="Times New Roman" w:eastAsia="宋体" w:cs="Times New Roman"/>
                <w:b/>
                <w:bCs/>
                <w:color w:val="auto"/>
                <w:kern w:val="24"/>
                <w:sz w:val="24"/>
                <w:szCs w:val="24"/>
                <w:highlight w:val="none"/>
              </w:rPr>
            </w:pPr>
            <w:r>
              <w:rPr>
                <w:rFonts w:hint="default" w:ascii="Times New Roman" w:hAnsi="Times New Roman" w:eastAsia="宋体" w:cs="Times New Roman"/>
                <w:b/>
                <w:bCs/>
                <w:color w:val="auto"/>
                <w:kern w:val="24"/>
                <w:sz w:val="24"/>
                <w:szCs w:val="24"/>
                <w:highlight w:val="none"/>
              </w:rPr>
              <w:t>排水：</w:t>
            </w:r>
          </w:p>
          <w:p>
            <w:pPr>
              <w:keepNext w:val="0"/>
              <w:keepLines w:val="0"/>
              <w:pageBreakBefore w:val="0"/>
              <w:widowControl w:val="0"/>
              <w:kinsoku/>
              <w:wordWrap/>
              <w:overflowPunct/>
              <w:topLinePunct w:val="0"/>
              <w:autoSpaceDE/>
              <w:autoSpaceDN/>
              <w:bidi w:val="0"/>
              <w:adjustRightInd w:val="0"/>
              <w:snapToGrid w:val="0"/>
              <w:spacing w:line="500" w:lineRule="exact"/>
              <w:ind w:right="0" w:rightChars="0" w:firstLine="480" w:firstLineChars="200"/>
              <w:jc w:val="left"/>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抑尘用水全部消耗；施工区出入口</w:t>
            </w:r>
            <w:r>
              <w:rPr>
                <w:rFonts w:hint="default" w:ascii="Times New Roman" w:hAnsi="Times New Roman" w:eastAsia="宋体" w:cs="Times New Roman"/>
                <w:color w:val="auto"/>
                <w:sz w:val="24"/>
                <w:szCs w:val="24"/>
                <w:highlight w:val="none"/>
                <w:lang w:eastAsia="zh-CN"/>
              </w:rPr>
              <w:t>处</w:t>
            </w:r>
            <w:r>
              <w:rPr>
                <w:rFonts w:hint="default" w:ascii="Times New Roman" w:hAnsi="Times New Roman" w:eastAsia="宋体" w:cs="Times New Roman"/>
                <w:color w:val="auto"/>
                <w:sz w:val="24"/>
                <w:szCs w:val="24"/>
                <w:highlight w:val="none"/>
                <w:lang w:val="en-US" w:eastAsia="zh-CN"/>
              </w:rPr>
              <w:t>设置洗车平台，并配套建设水路系统及沉淀池，车辆清洗废水</w:t>
            </w:r>
            <w:r>
              <w:rPr>
                <w:rFonts w:hint="default" w:ascii="Times New Roman" w:hAnsi="Times New Roman" w:eastAsia="宋体" w:cs="Times New Roman"/>
                <w:color w:val="auto"/>
                <w:kern w:val="24"/>
                <w:sz w:val="24"/>
                <w:szCs w:val="24"/>
                <w:highlight w:val="none"/>
                <w:lang w:val="en-US" w:eastAsia="zh-CN"/>
              </w:rPr>
              <w:t>0.7</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kern w:val="24"/>
                <w:sz w:val="24"/>
                <w:szCs w:val="24"/>
                <w:highlight w:val="none"/>
              </w:rPr>
              <w:t>/d</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126</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工期）</w:t>
            </w:r>
            <w:r>
              <w:rPr>
                <w:rFonts w:hint="default" w:ascii="Times New Roman" w:hAnsi="Times New Roman" w:eastAsia="宋体" w:cs="Times New Roman"/>
                <w:color w:val="auto"/>
                <w:sz w:val="24"/>
                <w:szCs w:val="24"/>
                <w:highlight w:val="none"/>
                <w:lang w:val="en-US" w:eastAsia="zh-CN"/>
              </w:rPr>
              <w:t>排入沉淀池，沉淀后回用；管网试压废水500</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val="en-US" w:eastAsia="zh-CN"/>
              </w:rPr>
              <w:t>，用于道路抑尘。</w:t>
            </w:r>
            <w:r>
              <w:rPr>
                <w:rFonts w:hint="default" w:ascii="Times New Roman" w:hAnsi="Times New Roman" w:eastAsia="宋体" w:cs="Times New Roman"/>
                <w:color w:val="auto"/>
                <w:kern w:val="24"/>
                <w:sz w:val="24"/>
                <w:szCs w:val="24"/>
                <w:highlight w:val="none"/>
                <w:lang w:eastAsia="zh-CN"/>
              </w:rPr>
              <w:t>沉淀池</w:t>
            </w:r>
            <w:r>
              <w:rPr>
                <w:rFonts w:hint="default" w:ascii="Times New Roman" w:hAnsi="Times New Roman" w:eastAsia="宋体" w:cs="Times New Roman"/>
                <w:color w:val="auto"/>
                <w:sz w:val="24"/>
                <w:szCs w:val="24"/>
                <w:highlight w:val="none"/>
                <w:lang w:val="en-US" w:eastAsia="zh-CN"/>
              </w:rPr>
              <w:t>池体采用混凝土一次性浇筑，渗透系数≤10</w:t>
            </w:r>
            <w:r>
              <w:rPr>
                <w:rFonts w:hint="default" w:ascii="Times New Roman" w:hAnsi="Times New Roman" w:eastAsia="宋体" w:cs="Times New Roman"/>
                <w:color w:val="auto"/>
                <w:sz w:val="24"/>
                <w:szCs w:val="24"/>
                <w:highlight w:val="none"/>
                <w:vertAlign w:val="superscript"/>
                <w:lang w:val="en-US" w:eastAsia="zh-CN"/>
              </w:rPr>
              <w:t>-7</w:t>
            </w:r>
            <w:r>
              <w:rPr>
                <w:rFonts w:hint="default" w:ascii="Times New Roman" w:hAnsi="Times New Roman" w:eastAsia="宋体" w:cs="Times New Roman"/>
                <w:color w:val="auto"/>
                <w:sz w:val="24"/>
                <w:szCs w:val="24"/>
                <w:highlight w:val="none"/>
                <w:lang w:val="en-US" w:eastAsia="zh-CN"/>
              </w:rPr>
              <w:t>cm/s。</w:t>
            </w:r>
          </w:p>
          <w:p>
            <w:pPr>
              <w:keepNext w:val="0"/>
              <w:keepLines w:val="0"/>
              <w:pageBreakBefore w:val="0"/>
              <w:widowControl w:val="0"/>
              <w:kinsoku/>
              <w:wordWrap/>
              <w:overflowPunct/>
              <w:topLinePunct w:val="0"/>
              <w:bidi w:val="0"/>
              <w:spacing w:line="500" w:lineRule="exact"/>
              <w:ind w:firstLine="480" w:firstLineChars="200"/>
              <w:jc w:val="left"/>
              <w:textAlignment w:val="auto"/>
              <w:rPr>
                <w:rFonts w:hint="default" w:ascii="Times New Roman" w:hAnsi="Times New Roman" w:eastAsia="宋体" w:cs="Times New Roman"/>
                <w:color w:val="auto"/>
                <w:kern w:val="24"/>
                <w:sz w:val="24"/>
                <w:szCs w:val="24"/>
                <w:highlight w:val="none"/>
                <w:lang w:eastAsia="zh-CN"/>
              </w:rPr>
            </w:pPr>
            <w:r>
              <w:rPr>
                <w:rFonts w:hint="default" w:ascii="Times New Roman" w:hAnsi="Times New Roman" w:eastAsia="宋体" w:cs="Times New Roman"/>
                <w:color w:val="auto"/>
                <w:sz w:val="24"/>
                <w:szCs w:val="24"/>
                <w:lang w:eastAsia="zh-CN"/>
              </w:rPr>
              <w:t>施工期生活废水主要为盥洗废水，废水按照排放系数</w:t>
            </w:r>
            <w:r>
              <w:rPr>
                <w:rFonts w:hint="default" w:ascii="Times New Roman" w:hAnsi="Times New Roman" w:eastAsia="宋体" w:cs="Times New Roman"/>
                <w:color w:val="auto"/>
                <w:sz w:val="24"/>
                <w:szCs w:val="24"/>
                <w:lang w:val="en-US" w:eastAsia="zh-CN"/>
              </w:rPr>
              <w:t>0.8计，则施工期生活废水排放量为0.64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kern w:val="24"/>
                <w:sz w:val="24"/>
                <w:szCs w:val="24"/>
                <w:highlight w:val="none"/>
              </w:rPr>
              <w:t>/d</w:t>
            </w:r>
            <w:r>
              <w:rPr>
                <w:rFonts w:hint="default" w:ascii="Times New Roman" w:hAnsi="Times New Roman" w:eastAsia="宋体" w:cs="Times New Roman"/>
                <w:color w:val="auto"/>
                <w:kern w:val="24"/>
                <w:sz w:val="24"/>
                <w:szCs w:val="24"/>
                <w:highlight w:val="none"/>
                <w:lang w:eastAsia="zh-CN"/>
              </w:rPr>
              <w:t>（</w:t>
            </w:r>
            <w:r>
              <w:rPr>
                <w:rFonts w:hint="default" w:ascii="Times New Roman" w:hAnsi="Times New Roman" w:eastAsia="宋体" w:cs="Times New Roman"/>
                <w:color w:val="auto"/>
                <w:kern w:val="24"/>
                <w:sz w:val="24"/>
                <w:szCs w:val="24"/>
                <w:highlight w:val="none"/>
                <w:lang w:val="en-US" w:eastAsia="zh-CN"/>
              </w:rPr>
              <w:t>115.2</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kern w:val="24"/>
                <w:sz w:val="24"/>
                <w:szCs w:val="24"/>
                <w:highlight w:val="none"/>
              </w:rPr>
              <w:t>/</w:t>
            </w:r>
            <w:r>
              <w:rPr>
                <w:rFonts w:hint="default" w:ascii="Times New Roman" w:hAnsi="Times New Roman" w:eastAsia="宋体" w:cs="Times New Roman"/>
                <w:color w:val="auto"/>
                <w:sz w:val="24"/>
                <w:szCs w:val="24"/>
                <w:highlight w:val="none"/>
                <w:lang w:eastAsia="zh-CN"/>
              </w:rPr>
              <w:t>工期</w:t>
            </w:r>
            <w:r>
              <w:rPr>
                <w:rFonts w:hint="default" w:ascii="Times New Roman" w:hAnsi="Times New Roman" w:eastAsia="宋体" w:cs="Times New Roman"/>
                <w:color w:val="auto"/>
                <w:kern w:val="24"/>
                <w:sz w:val="24"/>
                <w:szCs w:val="24"/>
                <w:highlight w:val="none"/>
                <w:lang w:eastAsia="zh-CN"/>
              </w:rPr>
              <w:t>）。</w:t>
            </w:r>
          </w:p>
          <w:p>
            <w:pPr>
              <w:keepNext w:val="0"/>
              <w:keepLines w:val="0"/>
              <w:pageBreakBefore w:val="0"/>
              <w:widowControl w:val="0"/>
              <w:kinsoku/>
              <w:wordWrap/>
              <w:overflowPunct/>
              <w:topLinePunct w:val="0"/>
              <w:bidi w:val="0"/>
              <w:spacing w:line="50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24"/>
                <w:sz w:val="24"/>
                <w:szCs w:val="24"/>
                <w:highlight w:val="none"/>
                <w:lang w:eastAsia="zh-CN"/>
              </w:rPr>
              <w:t>运营期</w:t>
            </w:r>
            <w:r>
              <w:rPr>
                <w:rFonts w:hint="default" w:ascii="Times New Roman" w:hAnsi="Times New Roman" w:eastAsia="宋体" w:cs="Times New Roman"/>
                <w:color w:val="auto"/>
                <w:sz w:val="24"/>
                <w:szCs w:val="24"/>
              </w:rPr>
              <w:t>生活</w:t>
            </w:r>
            <w:r>
              <w:rPr>
                <w:rFonts w:hint="default" w:ascii="Times New Roman" w:hAnsi="Times New Roman" w:eastAsia="宋体" w:cs="Times New Roman"/>
                <w:color w:val="auto"/>
                <w:sz w:val="24"/>
                <w:szCs w:val="24"/>
                <w:lang w:eastAsia="zh-CN"/>
              </w:rPr>
              <w:t>废水为村居民盥洗、洗浴、冲厕产生废水，废水</w:t>
            </w:r>
            <w:r>
              <w:rPr>
                <w:rFonts w:hint="default" w:ascii="Times New Roman" w:hAnsi="Times New Roman" w:eastAsia="宋体" w:cs="Times New Roman"/>
                <w:color w:val="auto"/>
                <w:sz w:val="24"/>
                <w:szCs w:val="24"/>
              </w:rPr>
              <w:t>安排放系数0.8计算，</w:t>
            </w:r>
            <w:r>
              <w:rPr>
                <w:rFonts w:hint="default" w:ascii="Times New Roman" w:hAnsi="Times New Roman" w:eastAsia="宋体" w:cs="Times New Roman"/>
                <w:color w:val="auto"/>
                <w:sz w:val="24"/>
                <w:szCs w:val="24"/>
                <w:lang w:val="en-US" w:eastAsia="zh-CN"/>
              </w:rPr>
              <w:t>则居民生活废水</w:t>
            </w:r>
            <w:r>
              <w:rPr>
                <w:rFonts w:hint="default" w:ascii="Times New Roman" w:hAnsi="Times New Roman" w:eastAsia="宋体" w:cs="Times New Roman"/>
                <w:color w:val="auto"/>
                <w:sz w:val="24"/>
                <w:szCs w:val="24"/>
                <w:lang w:eastAsia="zh-CN"/>
              </w:rPr>
              <w:t>为</w:t>
            </w:r>
            <w:r>
              <w:rPr>
                <w:rFonts w:hint="default" w:ascii="Times New Roman" w:hAnsi="Times New Roman" w:eastAsia="宋体" w:cs="Times New Roman"/>
                <w:color w:val="auto"/>
                <w:sz w:val="24"/>
                <w:szCs w:val="24"/>
                <w:lang w:val="en-US" w:eastAsia="zh-CN"/>
              </w:rPr>
              <w:t>30.4m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val="en-US" w:eastAsia="zh-CN"/>
              </w:rPr>
              <w:t>11096m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24"/>
                <w:sz w:val="24"/>
                <w:szCs w:val="24"/>
                <w:highlight w:val="none"/>
                <w:lang w:eastAsia="zh-CN"/>
              </w:rPr>
              <w:t>，</w:t>
            </w:r>
            <w:r>
              <w:rPr>
                <w:rFonts w:hint="default" w:ascii="Times New Roman" w:hAnsi="Times New Roman" w:eastAsia="宋体" w:cs="Times New Roman"/>
                <w:color w:val="auto"/>
                <w:sz w:val="24"/>
                <w:szCs w:val="24"/>
              </w:rPr>
              <w:t>居民生活污水经各农户化粪池通过污水管网排入</w:t>
            </w:r>
            <w:r>
              <w:rPr>
                <w:rFonts w:hint="default" w:ascii="Times New Roman" w:hAnsi="Times New Roman" w:eastAsia="宋体" w:cs="Times New Roman"/>
                <w:color w:val="auto"/>
                <w:sz w:val="24"/>
                <w:szCs w:val="24"/>
                <w:lang w:eastAsia="zh-CN"/>
              </w:rPr>
              <w:t>新建</w:t>
            </w:r>
            <w:r>
              <w:rPr>
                <w:rFonts w:hint="default" w:ascii="Times New Roman" w:hAnsi="Times New Roman" w:eastAsia="宋体" w:cs="Times New Roman"/>
                <w:color w:val="auto"/>
                <w:sz w:val="24"/>
                <w:szCs w:val="24"/>
              </w:rPr>
              <w:t>污水处理站，经过处理达标后排入集水池暂存，</w:t>
            </w:r>
            <w:r>
              <w:rPr>
                <w:rFonts w:hint="eastAsia"/>
              </w:rPr>
              <w:t>达标尾水全部回用于农田灌溉</w:t>
            </w:r>
            <w:r>
              <w:rPr>
                <w:rFonts w:hint="eastAsia"/>
                <w:lang w:eastAsia="zh-CN"/>
              </w:rPr>
              <w:t>，</w:t>
            </w:r>
            <w:r>
              <w:rPr>
                <w:rFonts w:hint="eastAsia"/>
                <w:lang w:val="en-US" w:eastAsia="zh-CN"/>
              </w:rPr>
              <w:t>冬季用于农田冬灌</w:t>
            </w:r>
            <w:r>
              <w:rPr>
                <w:rFonts w:hint="eastAsia"/>
              </w:rPr>
              <w:t>。</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hint="default" w:ascii="Times New Roman" w:hAnsi="Times New Roman" w:cs="Times New Roman" w:eastAsiaTheme="minorEastAsia"/>
                <w:b/>
                <w:bCs/>
                <w:color w:val="auto"/>
                <w:sz w:val="24"/>
                <w:szCs w:val="24"/>
                <w:lang w:val="en-US" w:eastAsia="zh-CN"/>
              </w:rPr>
            </w:pPr>
            <w:r>
              <w:rPr>
                <w:rFonts w:hint="eastAsia" w:ascii="Times New Roman" w:hAnsi="Times New Roman" w:cs="Times New Roman" w:eastAsiaTheme="minorEastAsia"/>
                <w:b/>
                <w:bCs/>
                <w:color w:val="auto"/>
                <w:sz w:val="24"/>
                <w:szCs w:val="24"/>
                <w:lang w:val="en-US" w:eastAsia="zh-CN"/>
              </w:rPr>
              <w:t>4、</w:t>
            </w:r>
            <w:r>
              <w:rPr>
                <w:rFonts w:hint="default" w:ascii="Times New Roman" w:hAnsi="Times New Roman" w:cs="Times New Roman" w:eastAsiaTheme="minorEastAsia"/>
                <w:b/>
                <w:bCs/>
                <w:color w:val="auto"/>
                <w:sz w:val="24"/>
                <w:szCs w:val="24"/>
                <w:lang w:eastAsia="zh-CN"/>
              </w:rPr>
              <w:t>管网的设计方案</w:t>
            </w:r>
          </w:p>
          <w:p>
            <w:pPr>
              <w:keepNext w:val="0"/>
              <w:keepLines w:val="0"/>
              <w:pageBreakBefore w:val="0"/>
              <w:widowControl w:val="0"/>
              <w:kinsoku/>
              <w:wordWrap/>
              <w:overflowPunct/>
              <w:topLinePunct w:val="0"/>
              <w:autoSpaceDE/>
              <w:autoSpaceDN/>
              <w:bidi w:val="0"/>
              <w:adjustRightInd/>
              <w:snapToGrid/>
              <w:spacing w:after="0" w:line="500" w:lineRule="exact"/>
              <w:ind w:firstLine="480" w:firstLineChars="200"/>
              <w:jc w:val="left"/>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本工程</w:t>
            </w:r>
            <w:r>
              <w:rPr>
                <w:rFonts w:hint="default" w:ascii="Times New Roman" w:hAnsi="Times New Roman" w:eastAsia="宋体" w:cs="Times New Roman"/>
                <w:b w:val="0"/>
                <w:bCs w:val="0"/>
                <w:sz w:val="24"/>
                <w:szCs w:val="24"/>
                <w:lang w:val="en-US" w:eastAsia="zh-CN"/>
              </w:rPr>
              <w:t>D</w:t>
            </w:r>
            <w:r>
              <w:rPr>
                <w:rFonts w:hint="default" w:ascii="Times New Roman" w:hAnsi="Times New Roman" w:eastAsia="宋体" w:cs="Times New Roman"/>
                <w:b w:val="0"/>
                <w:bCs w:val="0"/>
                <w:sz w:val="24"/>
                <w:szCs w:val="24"/>
              </w:rPr>
              <w:t>N</w:t>
            </w:r>
            <w:r>
              <w:rPr>
                <w:rFonts w:hint="default" w:ascii="Times New Roman" w:hAnsi="Times New Roman" w:eastAsia="宋体" w:cs="Times New Roman"/>
                <w:b w:val="0"/>
                <w:bCs w:val="0"/>
                <w:sz w:val="24"/>
                <w:szCs w:val="24"/>
                <w:lang w:val="en-US" w:eastAsia="zh-CN"/>
              </w:rPr>
              <w:t>200</w:t>
            </w:r>
            <w:r>
              <w:rPr>
                <w:rFonts w:hint="default" w:ascii="Times New Roman" w:hAnsi="Times New Roman" w:eastAsia="宋体" w:cs="Times New Roman"/>
                <w:b w:val="0"/>
                <w:bCs w:val="0"/>
                <w:sz w:val="24"/>
                <w:szCs w:val="24"/>
              </w:rPr>
              <w:t>-DN</w:t>
            </w:r>
            <w:r>
              <w:rPr>
                <w:rFonts w:hint="default" w:ascii="Times New Roman" w:hAnsi="Times New Roman" w:eastAsia="宋体" w:cs="Times New Roman"/>
                <w:b w:val="0"/>
                <w:bCs w:val="0"/>
                <w:sz w:val="24"/>
                <w:szCs w:val="24"/>
                <w:lang w:val="en-US" w:eastAsia="zh-CN"/>
              </w:rPr>
              <w:t>300</w:t>
            </w:r>
            <w:r>
              <w:rPr>
                <w:rFonts w:hint="default" w:ascii="Times New Roman" w:hAnsi="Times New Roman" w:eastAsia="宋体" w:cs="Times New Roman"/>
                <w:b w:val="0"/>
                <w:bCs w:val="0"/>
                <w:sz w:val="24"/>
                <w:szCs w:val="24"/>
              </w:rPr>
              <w:t>自流排水管道，采用高密度聚乙烯双壁波纹管，承插柔性橡胶圈接口连接。塑料排水管道安装应满足《埋地塑料排水管道工程技术规程》CJ143-2010的要求</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高密度聚乙烯双壁波纹管管材环刚度&gt;8KN/m</w:t>
            </w:r>
            <w:r>
              <w:rPr>
                <w:rFonts w:hint="default" w:ascii="Times New Roman" w:hAnsi="Times New Roman" w:eastAsia="宋体" w:cs="Times New Roman"/>
                <w:b w:val="0"/>
                <w:bCs w:val="0"/>
                <w:sz w:val="24"/>
                <w:szCs w:val="24"/>
                <w:vertAlign w:val="superscript"/>
                <w:lang w:val="en-US" w:eastAsia="zh-CN"/>
              </w:rPr>
              <w:t>2</w:t>
            </w:r>
            <w:r>
              <w:rPr>
                <w:rFonts w:hint="default" w:ascii="Times New Roman" w:hAnsi="Times New Roman" w:eastAsia="宋体" w:cs="Times New Roman"/>
                <w:b w:val="0"/>
                <w:bCs w:val="0"/>
                <w:sz w:val="24"/>
                <w:szCs w:val="24"/>
              </w:rPr>
              <w:t>。</w:t>
            </w:r>
          </w:p>
          <w:p>
            <w:pPr>
              <w:keepNext w:val="0"/>
              <w:keepLines w:val="0"/>
              <w:pageBreakBefore w:val="0"/>
              <w:widowControl w:val="0"/>
              <w:kinsoku/>
              <w:wordWrap/>
              <w:overflowPunct/>
              <w:topLinePunct w:val="0"/>
              <w:autoSpaceDE/>
              <w:autoSpaceDN/>
              <w:bidi w:val="0"/>
              <w:adjustRightInd/>
              <w:snapToGrid/>
              <w:spacing w:after="0" w:line="500" w:lineRule="exact"/>
              <w:ind w:firstLine="480" w:firstLineChars="200"/>
              <w:jc w:val="left"/>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各户至户外第一个排水检查井的排水管道采用UPVC塑料排水管。</w:t>
            </w:r>
          </w:p>
          <w:p>
            <w:pPr>
              <w:keepNext w:val="0"/>
              <w:keepLines w:val="0"/>
              <w:pageBreakBefore w:val="0"/>
              <w:widowControl w:val="0"/>
              <w:kinsoku/>
              <w:wordWrap/>
              <w:overflowPunct/>
              <w:topLinePunct w:val="0"/>
              <w:autoSpaceDE/>
              <w:autoSpaceDN/>
              <w:bidi w:val="0"/>
              <w:adjustRightInd/>
              <w:snapToGrid/>
              <w:spacing w:after="0" w:line="500" w:lineRule="exact"/>
              <w:ind w:firstLine="480" w:firstLineChars="200"/>
              <w:jc w:val="left"/>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本工程</w:t>
            </w:r>
            <w:r>
              <w:rPr>
                <w:rFonts w:hint="default" w:ascii="Times New Roman" w:hAnsi="Times New Roman" w:eastAsia="宋体" w:cs="Times New Roman"/>
                <w:b w:val="0"/>
                <w:bCs w:val="0"/>
                <w:sz w:val="24"/>
                <w:szCs w:val="24"/>
                <w:lang w:eastAsia="zh-CN"/>
              </w:rPr>
              <w:t>压力排水管道与给水管道覆土±</w:t>
            </w:r>
            <w:r>
              <w:rPr>
                <w:rFonts w:hint="default" w:ascii="Times New Roman" w:hAnsi="Times New Roman" w:eastAsia="宋体" w:cs="Times New Roman"/>
                <w:b w:val="0"/>
                <w:bCs w:val="0"/>
                <w:sz w:val="24"/>
                <w:szCs w:val="24"/>
                <w:lang w:val="en-US" w:eastAsia="zh-CN"/>
              </w:rPr>
              <w:t>1.41m。</w:t>
            </w:r>
            <w:r>
              <w:rPr>
                <w:rFonts w:hint="default" w:ascii="Times New Roman" w:hAnsi="Times New Roman" w:eastAsia="宋体" w:cs="Times New Roman"/>
                <w:b w:val="0"/>
                <w:bCs w:val="0"/>
                <w:sz w:val="24"/>
                <w:szCs w:val="24"/>
              </w:rPr>
              <w:t>当管道与其他管道（给水、热力等）或明渠交叉穿过时，应使管道接口避开相交处</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与给水管道交叉时应</w:t>
            </w:r>
            <w:r>
              <w:rPr>
                <w:rFonts w:hint="default" w:ascii="Times New Roman" w:hAnsi="Times New Roman" w:eastAsia="宋体" w:cs="Times New Roman"/>
                <w:b w:val="0"/>
                <w:bCs w:val="0"/>
                <w:sz w:val="24"/>
                <w:szCs w:val="24"/>
                <w:lang w:eastAsia="zh-CN"/>
              </w:rPr>
              <w:t>敷</w:t>
            </w:r>
            <w:r>
              <w:rPr>
                <w:rFonts w:hint="default" w:ascii="Times New Roman" w:hAnsi="Times New Roman" w:eastAsia="宋体" w:cs="Times New Roman"/>
                <w:b w:val="0"/>
                <w:bCs w:val="0"/>
                <w:sz w:val="24"/>
                <w:szCs w:val="24"/>
              </w:rPr>
              <w:t>设在给水管道下方，不小于0.4米，与其他管线的水平与垂直距离不应小于《室外排水设计规范》（GB50014-2006）2016年版附录B中规定的最小净距。</w:t>
            </w:r>
          </w:p>
          <w:p>
            <w:pPr>
              <w:keepNext w:val="0"/>
              <w:keepLines w:val="0"/>
              <w:pageBreakBefore w:val="0"/>
              <w:widowControl w:val="0"/>
              <w:kinsoku/>
              <w:wordWrap/>
              <w:overflowPunct/>
              <w:topLinePunct w:val="0"/>
              <w:autoSpaceDE/>
              <w:autoSpaceDN/>
              <w:bidi w:val="0"/>
              <w:adjustRightInd/>
              <w:snapToGrid/>
              <w:spacing w:after="0" w:line="500" w:lineRule="exact"/>
              <w:ind w:left="0" w:leftChars="0" w:firstLine="480" w:firstLineChars="200"/>
              <w:jc w:val="left"/>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重力流排水管道敷设</w:t>
            </w:r>
            <w:r>
              <w:rPr>
                <w:rFonts w:hint="default" w:ascii="Times New Roman" w:hAnsi="Times New Roman" w:eastAsia="宋体" w:cs="Times New Roman"/>
                <w:b w:val="0"/>
                <w:bCs w:val="0"/>
                <w:sz w:val="24"/>
                <w:szCs w:val="24"/>
                <w:lang w:eastAsia="zh-CN"/>
              </w:rPr>
              <w:t>按设计</w:t>
            </w:r>
            <w:r>
              <w:rPr>
                <w:rFonts w:hint="default" w:ascii="Times New Roman" w:hAnsi="Times New Roman" w:eastAsia="宋体" w:cs="Times New Roman"/>
                <w:b w:val="0"/>
                <w:bCs w:val="0"/>
                <w:sz w:val="24"/>
                <w:szCs w:val="24"/>
              </w:rPr>
              <w:t>坡度。管道敷设不得出现无坡、倒坡。重力流排水管道在检查井内的连接，采用管顶平接。在管道转弯和交接处，其水流转角不得小于90'，但当管径小于或等于300mm时，跌水水头大于0.3m时，可不受此限制，设置在机动车道下的埋地塑料排水管道不应影响道路质量。塑料管道应直线敷设，当遇到特殊情况需折线敷设时，应采用柔性连接，其允许偏转角应满足要求。</w:t>
            </w:r>
          </w:p>
          <w:p>
            <w:pPr>
              <w:keepNext w:val="0"/>
              <w:keepLines w:val="0"/>
              <w:pageBreakBefore w:val="0"/>
              <w:widowControl w:val="0"/>
              <w:kinsoku/>
              <w:wordWrap/>
              <w:overflowPunct/>
              <w:topLinePunct w:val="0"/>
              <w:autoSpaceDE/>
              <w:autoSpaceDN/>
              <w:bidi w:val="0"/>
              <w:adjustRightInd/>
              <w:snapToGrid/>
              <w:spacing w:after="0" w:line="500" w:lineRule="exact"/>
              <w:ind w:firstLine="480" w:firstLineChars="200"/>
              <w:jc w:val="left"/>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当地基土为淤泥、淤泥质土、冲填土等软土地基时，应进行地基加固处理。</w:t>
            </w:r>
          </w:p>
          <w:p>
            <w:pPr>
              <w:pStyle w:val="3"/>
              <w:keepNext w:val="0"/>
              <w:keepLines w:val="0"/>
              <w:pageBreakBefore w:val="0"/>
              <w:widowControl w:val="0"/>
              <w:kinsoku/>
              <w:wordWrap/>
              <w:overflowPunct/>
              <w:topLinePunct w:val="0"/>
              <w:bidi w:val="0"/>
              <w:adjustRightInd/>
              <w:snapToGrid/>
              <w:spacing w:after="0" w:afterLines="0" w:line="500" w:lineRule="exact"/>
              <w:ind w:firstLine="480" w:firstLineChars="200"/>
              <w:jc w:val="left"/>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eastAsia="zh-CN"/>
              </w:rPr>
              <w:t>过主路下排水管大用采用混凝土包封，长度约</w:t>
            </w:r>
            <w:r>
              <w:rPr>
                <w:rFonts w:hint="default" w:ascii="Times New Roman" w:hAnsi="Times New Roman" w:eastAsia="宋体" w:cs="Times New Roman"/>
                <w:b w:val="0"/>
                <w:bCs w:val="0"/>
                <w:sz w:val="24"/>
                <w:szCs w:val="24"/>
                <w:lang w:val="en-US" w:eastAsia="zh-CN"/>
              </w:rPr>
              <w:t>12m</w:t>
            </w:r>
            <w:r>
              <w:rPr>
                <w:rFonts w:hint="eastAsia" w:ascii="Times New Roman" w:hAnsi="Times New Roman" w:eastAsia="宋体" w:cs="Times New Roman"/>
                <w:b w:val="0"/>
                <w:bCs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after="0" w:line="500" w:lineRule="exact"/>
              <w:ind w:firstLine="480" w:firstLineChars="200"/>
              <w:jc w:val="left"/>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排水检查井采用塑料排水检查井，排水检查井应安装防坠落网。</w:t>
            </w:r>
          </w:p>
          <w:p>
            <w:pPr>
              <w:keepNext w:val="0"/>
              <w:keepLines w:val="0"/>
              <w:pageBreakBefore w:val="0"/>
              <w:widowControl w:val="0"/>
              <w:kinsoku/>
              <w:wordWrap/>
              <w:overflowPunct/>
              <w:topLinePunct w:val="0"/>
              <w:autoSpaceDE/>
              <w:autoSpaceDN/>
              <w:bidi w:val="0"/>
              <w:adjustRightInd/>
              <w:snapToGrid/>
              <w:spacing w:after="0" w:line="500" w:lineRule="exact"/>
              <w:ind w:firstLine="480" w:firstLineChars="200"/>
              <w:jc w:val="left"/>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rPr>
              <w:t>每条管线自上游第一个检查井起，每隔一个检查井做沉泥井，井底标高下降0.5m</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after="0" w:line="500" w:lineRule="exact"/>
              <w:ind w:firstLine="480" w:firstLineChars="200"/>
              <w:jc w:val="left"/>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坡度较大的管道末端检查井、采取增强井筒抗冲击和冲刷能力的措施，井盖采用排气井盖。检查井的地基处理同管道基础的地基处理处理范围每边超出基础外边缘不小于0.5m</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井圈周围加固混凝土</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混凝土材料由C25改为C35，保护层由25mm</w:t>
            </w:r>
            <w:r>
              <w:rPr>
                <w:rFonts w:hint="default" w:ascii="Times New Roman" w:hAnsi="Times New Roman" w:eastAsia="宋体" w:cs="Times New Roman"/>
                <w:b w:val="0"/>
                <w:bCs w:val="0"/>
                <w:sz w:val="24"/>
                <w:szCs w:val="24"/>
                <w:lang w:eastAsia="zh-CN"/>
              </w:rPr>
              <w:t>改</w:t>
            </w:r>
            <w:r>
              <w:rPr>
                <w:rFonts w:hint="default" w:ascii="Times New Roman" w:hAnsi="Times New Roman" w:eastAsia="宋体" w:cs="Times New Roman"/>
                <w:b w:val="0"/>
                <w:bCs w:val="0"/>
                <w:sz w:val="24"/>
                <w:szCs w:val="24"/>
              </w:rPr>
              <w:t>为30mm，钢筋HPB235改为HPB300，HRB335</w:t>
            </w:r>
            <w:r>
              <w:rPr>
                <w:rFonts w:hint="default" w:ascii="Times New Roman" w:hAnsi="Times New Roman" w:eastAsia="宋体" w:cs="Times New Roman"/>
                <w:b w:val="0"/>
                <w:bCs w:val="0"/>
                <w:sz w:val="24"/>
                <w:szCs w:val="24"/>
                <w:lang w:eastAsia="zh-CN"/>
              </w:rPr>
              <w:t>改为</w:t>
            </w:r>
            <w:r>
              <w:rPr>
                <w:rFonts w:hint="default" w:ascii="Times New Roman" w:hAnsi="Times New Roman" w:eastAsia="宋体" w:cs="Times New Roman"/>
                <w:b w:val="0"/>
                <w:bCs w:val="0"/>
                <w:sz w:val="24"/>
                <w:szCs w:val="24"/>
              </w:rPr>
              <w:t>HRB400</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after="0" w:line="500" w:lineRule="exact"/>
              <w:ind w:left="0" w:leftChars="0" w:firstLine="480" w:firstLineChars="200"/>
              <w:jc w:val="left"/>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检查井在路面上的，井盖与道路路面齐平</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其它检查井盖修筑高程高出现状地面0.15m，井口与四周接坡。检查井位于车行道时采用球墨铸铁重型井盖，型号加700（ZQ），检查井井盖中心应表明是</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污</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来标识检查井类型，检查井井盖，规格及性能满足当地市政主管部门的有关规定，采用</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五防</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井盖，并具有泄压及</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防偷盗、防坠落、防移位、防响、防跳</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功能。</w:t>
            </w:r>
          </w:p>
          <w:p>
            <w:pPr>
              <w:keepNext w:val="0"/>
              <w:keepLines w:val="0"/>
              <w:pageBreakBefore w:val="0"/>
              <w:widowControl w:val="0"/>
              <w:kinsoku/>
              <w:wordWrap/>
              <w:overflowPunct/>
              <w:topLinePunct w:val="0"/>
              <w:autoSpaceDE/>
              <w:autoSpaceDN/>
              <w:bidi w:val="0"/>
              <w:adjustRightInd/>
              <w:snapToGrid/>
              <w:spacing w:line="500" w:lineRule="exact"/>
              <w:ind w:firstLine="482"/>
              <w:jc w:val="both"/>
              <w:textAlignment w:val="auto"/>
            </w:pPr>
            <w:r>
              <w:rPr>
                <w:rFonts w:hint="eastAsia"/>
                <w:b/>
                <w:lang w:val="en-US" w:eastAsia="zh-CN"/>
              </w:rPr>
              <w:t>5、</w:t>
            </w:r>
            <w:r>
              <w:rPr>
                <w:rFonts w:hint="eastAsia"/>
                <w:b/>
              </w:rPr>
              <w:t>能源消耗情况：</w:t>
            </w:r>
            <w:r>
              <w:rPr>
                <w:rFonts w:hint="eastAsia"/>
              </w:rPr>
              <w:t>项目</w:t>
            </w:r>
            <w:r>
              <w:t>能源消耗情况见</w:t>
            </w:r>
            <w:r>
              <w:rPr>
                <w:rFonts w:hint="eastAsia"/>
              </w:rPr>
              <w:t>下</w:t>
            </w:r>
            <w:r>
              <w:t>表。</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b/>
                <w:sz w:val="21"/>
                <w:szCs w:val="21"/>
              </w:rPr>
            </w:pPr>
            <w:r>
              <w:rPr>
                <w:b/>
                <w:sz w:val="21"/>
                <w:szCs w:val="21"/>
              </w:rPr>
              <w:t>表</w:t>
            </w:r>
            <w:r>
              <w:rPr>
                <w:rFonts w:hint="eastAsia"/>
                <w:b/>
                <w:sz w:val="21"/>
                <w:szCs w:val="21"/>
                <w:lang w:val="en-US" w:eastAsia="zh-CN"/>
              </w:rPr>
              <w:t>2-8</w:t>
            </w:r>
            <w:r>
              <w:rPr>
                <w:b/>
                <w:sz w:val="21"/>
                <w:szCs w:val="21"/>
              </w:rPr>
              <w:t xml:space="preserve"> 项目</w:t>
            </w:r>
            <w:r>
              <w:rPr>
                <w:rFonts w:hint="eastAsia"/>
                <w:b/>
                <w:sz w:val="21"/>
                <w:szCs w:val="21"/>
              </w:rPr>
              <w:t>原辅材料</w:t>
            </w:r>
            <w:r>
              <w:rPr>
                <w:b/>
                <w:sz w:val="21"/>
                <w:szCs w:val="21"/>
              </w:rPr>
              <w:t>及能</w:t>
            </w:r>
            <w:r>
              <w:rPr>
                <w:rFonts w:hint="eastAsia"/>
                <w:b/>
                <w:sz w:val="21"/>
                <w:szCs w:val="21"/>
              </w:rPr>
              <w:t>源消耗</w:t>
            </w:r>
            <w:r>
              <w:rPr>
                <w:b/>
                <w:sz w:val="21"/>
                <w:szCs w:val="21"/>
              </w:rPr>
              <w:t>情况一览表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1056"/>
              <w:gridCol w:w="638"/>
              <w:gridCol w:w="1010"/>
              <w:gridCol w:w="4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5" w:hRule="atLeast"/>
                <w:jc w:val="center"/>
              </w:trPr>
              <w:tc>
                <w:tcPr>
                  <w:tcW w:w="0" w:type="auto"/>
                  <w:gridSpan w:val="2"/>
                  <w:shd w:val="clear" w:color="auto" w:fill="auto"/>
                  <w:noWrap/>
                  <w:vAlign w:val="center"/>
                </w:tcPr>
                <w:p>
                  <w:pPr>
                    <w:widowControl/>
                    <w:spacing w:line="240" w:lineRule="auto"/>
                    <w:ind w:firstLine="0" w:firstLineChars="0"/>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能源名称</w:t>
                  </w:r>
                </w:p>
              </w:tc>
              <w:tc>
                <w:tcPr>
                  <w:tcW w:w="0" w:type="auto"/>
                  <w:shd w:val="clear" w:color="auto" w:fill="auto"/>
                  <w:noWrap/>
                  <w:vAlign w:val="center"/>
                </w:tcPr>
                <w:p>
                  <w:pPr>
                    <w:widowControl/>
                    <w:spacing w:line="240" w:lineRule="auto"/>
                    <w:ind w:firstLine="0" w:firstLineChars="0"/>
                    <w:jc w:val="center"/>
                    <w:rPr>
                      <w:b/>
                      <w:color w:val="000000" w:themeColor="text1"/>
                      <w:kern w:val="0"/>
                      <w:sz w:val="21"/>
                      <w:szCs w:val="21"/>
                      <w14:textFill>
                        <w14:solidFill>
                          <w14:schemeClr w14:val="tx1"/>
                        </w14:solidFill>
                      </w14:textFill>
                    </w:rPr>
                  </w:pPr>
                  <w:r>
                    <w:rPr>
                      <w:rFonts w:hint="eastAsia"/>
                      <w:b/>
                      <w:color w:val="000000" w:themeColor="text1"/>
                      <w:kern w:val="0"/>
                      <w:sz w:val="21"/>
                      <w:szCs w:val="21"/>
                      <w14:textFill>
                        <w14:solidFill>
                          <w14:schemeClr w14:val="tx1"/>
                        </w14:solidFill>
                      </w14:textFill>
                    </w:rPr>
                    <w:t>数量</w:t>
                  </w:r>
                </w:p>
              </w:tc>
              <w:tc>
                <w:tcPr>
                  <w:tcW w:w="0" w:type="auto"/>
                  <w:shd w:val="clear" w:color="auto" w:fill="auto"/>
                  <w:noWrap/>
                  <w:vAlign w:val="center"/>
                </w:tcPr>
                <w:p>
                  <w:pPr>
                    <w:widowControl/>
                    <w:spacing w:line="240" w:lineRule="auto"/>
                    <w:ind w:firstLine="0" w:firstLineChars="0"/>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单位</w:t>
                  </w:r>
                </w:p>
              </w:tc>
              <w:tc>
                <w:tcPr>
                  <w:tcW w:w="0" w:type="auto"/>
                  <w:shd w:val="clear" w:color="auto" w:fill="auto"/>
                  <w:noWrap/>
                  <w:vAlign w:val="center"/>
                </w:tcPr>
                <w:p>
                  <w:pPr>
                    <w:widowControl/>
                    <w:spacing w:line="240" w:lineRule="auto"/>
                    <w:ind w:firstLine="0" w:firstLineChars="0"/>
                    <w:jc w:val="center"/>
                    <w:rPr>
                      <w:b/>
                      <w:color w:val="000000" w:themeColor="text1"/>
                      <w:kern w:val="0"/>
                      <w:sz w:val="21"/>
                      <w:szCs w:val="21"/>
                      <w14:textFill>
                        <w14:solidFill>
                          <w14:schemeClr w14:val="tx1"/>
                        </w14:solidFill>
                      </w14:textFill>
                    </w:rPr>
                  </w:pPr>
                  <w:r>
                    <w:rPr>
                      <w:rFonts w:hint="eastAsia"/>
                      <w:b/>
                      <w:color w:val="000000" w:themeColor="text1"/>
                      <w:kern w:val="0"/>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0" w:type="auto"/>
                  <w:vMerge w:val="restart"/>
                  <w:shd w:val="clear" w:color="auto" w:fill="auto"/>
                  <w:noWrap/>
                  <w:vAlign w:val="center"/>
                </w:tcPr>
                <w:p>
                  <w:pPr>
                    <w:spacing w:line="240" w:lineRule="auto"/>
                    <w:ind w:firstLine="0" w:firstLineChars="0"/>
                    <w:jc w:val="center"/>
                    <w:rPr>
                      <w:color w:val="000000" w:themeColor="text1"/>
                      <w:kern w:val="0"/>
                      <w:sz w:val="21"/>
                      <w:szCs w:val="21"/>
                      <w14:textFill>
                        <w14:solidFill>
                          <w14:schemeClr w14:val="tx1"/>
                        </w14:solidFill>
                      </w14:textFill>
                    </w:rPr>
                  </w:pPr>
                  <w:r>
                    <w:rPr>
                      <w:rFonts w:hint="eastAsia"/>
                      <w:b w:val="0"/>
                      <w:bCs/>
                      <w:color w:val="000000" w:themeColor="text1"/>
                      <w:sz w:val="21"/>
                      <w:szCs w:val="21"/>
                      <w:lang w:eastAsia="zh-CN"/>
                      <w14:textFill>
                        <w14:solidFill>
                          <w14:schemeClr w14:val="tx1"/>
                        </w14:solidFill>
                      </w14:textFill>
                    </w:rPr>
                    <w:t>污水处理站</w:t>
                  </w:r>
                </w:p>
              </w:tc>
              <w:tc>
                <w:tcPr>
                  <w:tcW w:w="0" w:type="auto"/>
                  <w:shd w:val="clear" w:color="auto" w:fill="auto"/>
                  <w:noWrap/>
                  <w:vAlign w:val="center"/>
                </w:tcPr>
                <w:p>
                  <w:pPr>
                    <w:spacing w:line="240" w:lineRule="auto"/>
                    <w:ind w:firstLine="0" w:firstLineChars="0"/>
                    <w:jc w:val="center"/>
                    <w:rPr>
                      <w:rFonts w:hint="eastAsia"/>
                      <w:b w:val="0"/>
                      <w:bCs/>
                      <w:color w:val="0D0D0D" w:themeColor="text1" w:themeTint="F2"/>
                      <w:sz w:val="21"/>
                      <w:szCs w:val="21"/>
                      <w:lang w:eastAsia="zh-CN"/>
                      <w14:textFill>
                        <w14:solidFill>
                          <w14:schemeClr w14:val="tx1">
                            <w14:lumMod w14:val="95000"/>
                            <w14:lumOff w14:val="5000"/>
                          </w14:schemeClr>
                        </w14:solidFill>
                      </w14:textFill>
                    </w:rPr>
                  </w:pPr>
                  <w:r>
                    <w:rPr>
                      <w:rFonts w:hint="eastAsia"/>
                      <w:b w:val="0"/>
                      <w:bCs/>
                      <w:color w:val="000000" w:themeColor="text1"/>
                      <w:sz w:val="21"/>
                      <w:szCs w:val="21"/>
                      <w:lang w:eastAsia="zh-CN"/>
                      <w14:textFill>
                        <w14:solidFill>
                          <w14:schemeClr w14:val="tx1"/>
                        </w14:solidFill>
                      </w14:textFill>
                    </w:rPr>
                    <w:t>用电量</w:t>
                  </w:r>
                </w:p>
              </w:tc>
              <w:tc>
                <w:tcPr>
                  <w:tcW w:w="0" w:type="auto"/>
                  <w:shd w:val="clear" w:color="auto" w:fill="auto"/>
                  <w:noWrap/>
                  <w:vAlign w:val="center"/>
                </w:tcPr>
                <w:p>
                  <w:pPr>
                    <w:widowControl/>
                    <w:spacing w:line="240" w:lineRule="auto"/>
                    <w:ind w:firstLine="0" w:firstLineChars="0"/>
                    <w:jc w:val="center"/>
                    <w:rPr>
                      <w:rFonts w:hint="default"/>
                      <w:color w:val="000000" w:themeColor="text1"/>
                      <w:kern w:val="0"/>
                      <w:sz w:val="21"/>
                      <w:szCs w:val="21"/>
                      <w:lang w:val="en-US"/>
                      <w14:textFill>
                        <w14:solidFill>
                          <w14:schemeClr w14:val="tx1"/>
                        </w14:solidFill>
                      </w14:textFill>
                    </w:rPr>
                  </w:pPr>
                  <w:r>
                    <w:rPr>
                      <w:rFonts w:hint="eastAsia" w:cs="宋体"/>
                      <w:color w:val="auto"/>
                      <w:sz w:val="21"/>
                      <w:szCs w:val="21"/>
                      <w:lang w:val="en-US" w:eastAsia="zh-CN"/>
                    </w:rPr>
                    <w:t>6.46</w:t>
                  </w:r>
                </w:p>
              </w:tc>
              <w:tc>
                <w:tcPr>
                  <w:tcW w:w="0" w:type="auto"/>
                  <w:shd w:val="clear" w:color="auto" w:fill="auto"/>
                  <w:noWrap/>
                  <w:vAlign w:val="center"/>
                </w:tcPr>
                <w:p>
                  <w:pPr>
                    <w:widowControl/>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万</w:t>
                  </w:r>
                  <w:r>
                    <w:rPr>
                      <w:color w:val="000000" w:themeColor="text1"/>
                      <w:sz w:val="21"/>
                      <w:szCs w:val="21"/>
                      <w14:textFill>
                        <w14:solidFill>
                          <w14:schemeClr w14:val="tx1"/>
                        </w14:solidFill>
                      </w14:textFill>
                    </w:rPr>
                    <w:t>kw·h/a</w:t>
                  </w:r>
                </w:p>
              </w:tc>
              <w:tc>
                <w:tcPr>
                  <w:tcW w:w="0" w:type="auto"/>
                  <w:shd w:val="clear" w:color="auto" w:fill="auto"/>
                  <w:vAlign w:val="center"/>
                </w:tcPr>
                <w:p>
                  <w:pPr>
                    <w:widowControl/>
                    <w:spacing w:line="240" w:lineRule="auto"/>
                    <w:ind w:firstLine="0" w:firstLineChars="0"/>
                    <w:jc w:val="center"/>
                    <w:rPr>
                      <w:rFonts w:hint="eastAsia" w:eastAsia="宋体"/>
                      <w:color w:val="000000" w:themeColor="text1"/>
                      <w:kern w:val="0"/>
                      <w:sz w:val="21"/>
                      <w:szCs w:val="21"/>
                      <w:lang w:eastAsia="zh-CN"/>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当地电网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0" w:type="auto"/>
                  <w:vMerge w:val="continue"/>
                  <w:shd w:val="clear" w:color="auto" w:fill="auto"/>
                  <w:noWrap/>
                  <w:vAlign w:val="center"/>
                </w:tcPr>
                <w:p>
                  <w:pPr>
                    <w:widowControl/>
                    <w:spacing w:line="240" w:lineRule="auto"/>
                    <w:ind w:firstLine="0" w:firstLineChars="0"/>
                    <w:jc w:val="center"/>
                    <w:rPr>
                      <w:sz w:val="21"/>
                      <w:szCs w:val="21"/>
                    </w:rPr>
                  </w:pPr>
                </w:p>
              </w:tc>
              <w:tc>
                <w:tcPr>
                  <w:tcW w:w="0" w:type="auto"/>
                  <w:shd w:val="clear" w:color="auto" w:fill="auto"/>
                  <w:noWrap/>
                  <w:vAlign w:val="center"/>
                </w:tcPr>
                <w:p>
                  <w:pPr>
                    <w:widowControl/>
                    <w:spacing w:line="240" w:lineRule="auto"/>
                    <w:ind w:firstLine="0" w:firstLineChars="0"/>
                    <w:jc w:val="center"/>
                    <w:rPr>
                      <w:rFonts w:hint="eastAsia"/>
                      <w:b w:val="0"/>
                      <w:bCs/>
                      <w:color w:val="0D0D0D" w:themeColor="text1" w:themeTint="F2"/>
                      <w:sz w:val="21"/>
                      <w:szCs w:val="21"/>
                      <w:lang w:eastAsia="zh-CN"/>
                      <w14:textFill>
                        <w14:solidFill>
                          <w14:schemeClr w14:val="tx1">
                            <w14:lumMod w14:val="95000"/>
                            <w14:lumOff w14:val="5000"/>
                          </w14:schemeClr>
                        </w14:solidFill>
                      </w14:textFill>
                    </w:rPr>
                  </w:pPr>
                  <w:r>
                    <w:rPr>
                      <w:rFonts w:hint="eastAsia"/>
                      <w:sz w:val="21"/>
                      <w:szCs w:val="21"/>
                      <w:lang w:eastAsia="zh-CN"/>
                    </w:rPr>
                    <w:t>次氯酸钠</w:t>
                  </w:r>
                </w:p>
              </w:tc>
              <w:tc>
                <w:tcPr>
                  <w:tcW w:w="0" w:type="auto"/>
                  <w:shd w:val="clear" w:color="auto" w:fill="auto"/>
                  <w:noWrap/>
                  <w:vAlign w:val="center"/>
                </w:tcPr>
                <w:p>
                  <w:pPr>
                    <w:widowControl/>
                    <w:spacing w:line="240" w:lineRule="auto"/>
                    <w:ind w:firstLine="0" w:firstLineChars="0"/>
                    <w:jc w:val="center"/>
                    <w:rPr>
                      <w:rFonts w:hint="default"/>
                      <w:b w:val="0"/>
                      <w:bCs/>
                      <w:color w:val="0D0D0D" w:themeColor="text1" w:themeTint="F2"/>
                      <w:sz w:val="21"/>
                      <w:szCs w:val="21"/>
                      <w:lang w:val="en-US" w:eastAsia="zh-CN"/>
                      <w14:textFill>
                        <w14:solidFill>
                          <w14:schemeClr w14:val="tx1">
                            <w14:lumMod w14:val="95000"/>
                            <w14:lumOff w14:val="5000"/>
                          </w14:schemeClr>
                        </w14:solidFill>
                      </w14:textFill>
                    </w:rPr>
                  </w:pPr>
                  <w:r>
                    <w:rPr>
                      <w:rFonts w:hint="eastAsia"/>
                      <w:b w:val="0"/>
                      <w:bCs/>
                      <w:color w:val="0D0D0D" w:themeColor="text1" w:themeTint="F2"/>
                      <w:sz w:val="21"/>
                      <w:szCs w:val="21"/>
                      <w:lang w:val="en-US" w:eastAsia="zh-CN"/>
                      <w14:textFill>
                        <w14:solidFill>
                          <w14:schemeClr w14:val="tx1">
                            <w14:lumMod w14:val="95000"/>
                            <w14:lumOff w14:val="5000"/>
                          </w14:schemeClr>
                        </w14:solidFill>
                      </w14:textFill>
                    </w:rPr>
                    <w:t>1.08</w:t>
                  </w:r>
                </w:p>
              </w:tc>
              <w:tc>
                <w:tcPr>
                  <w:tcW w:w="0" w:type="auto"/>
                  <w:shd w:val="clear" w:color="auto" w:fill="auto"/>
                  <w:noWrap/>
                  <w:vAlign w:val="center"/>
                </w:tcPr>
                <w:p>
                  <w:pPr>
                    <w:widowControl/>
                    <w:spacing w:line="240" w:lineRule="auto"/>
                    <w:ind w:firstLine="0" w:firstLineChars="0"/>
                    <w:jc w:val="center"/>
                    <w:rPr>
                      <w:rFonts w:hint="default"/>
                      <w:b w:val="0"/>
                      <w:bCs/>
                      <w:color w:val="0D0D0D" w:themeColor="text1" w:themeTint="F2"/>
                      <w:sz w:val="21"/>
                      <w:szCs w:val="21"/>
                      <w:lang w:val="en-US" w:eastAsia="zh-CN"/>
                      <w14:textFill>
                        <w14:solidFill>
                          <w14:schemeClr w14:val="tx1">
                            <w14:lumMod w14:val="95000"/>
                            <w14:lumOff w14:val="5000"/>
                          </w14:schemeClr>
                        </w14:solidFill>
                      </w14:textFill>
                    </w:rPr>
                  </w:pPr>
                  <w:r>
                    <w:rPr>
                      <w:rFonts w:hint="eastAsia"/>
                      <w:b w:val="0"/>
                      <w:bCs/>
                      <w:color w:val="0D0D0D" w:themeColor="text1" w:themeTint="F2"/>
                      <w:sz w:val="21"/>
                      <w:szCs w:val="21"/>
                      <w:lang w:val="en-US" w:eastAsia="zh-CN"/>
                      <w14:textFill>
                        <w14:solidFill>
                          <w14:schemeClr w14:val="tx1">
                            <w14:lumMod w14:val="95000"/>
                            <w14:lumOff w14:val="5000"/>
                          </w14:schemeClr>
                        </w14:solidFill>
                      </w14:textFill>
                    </w:rPr>
                    <w:t>t/a</w:t>
                  </w:r>
                </w:p>
              </w:tc>
              <w:tc>
                <w:tcPr>
                  <w:tcW w:w="0" w:type="auto"/>
                  <w:shd w:val="clear" w:color="auto" w:fill="auto"/>
                  <w:vAlign w:val="center"/>
                </w:tcPr>
                <w:p>
                  <w:pPr>
                    <w:widowControl/>
                    <w:spacing w:line="240" w:lineRule="auto"/>
                    <w:ind w:firstLine="0" w:firstLineChars="0"/>
                    <w:jc w:val="center"/>
                    <w:rPr>
                      <w:rFonts w:hint="eastAsia"/>
                      <w:b w:val="0"/>
                      <w:bCs/>
                      <w:color w:val="0D0D0D" w:themeColor="text1" w:themeTint="F2"/>
                      <w:sz w:val="21"/>
                      <w:szCs w:val="21"/>
                      <w:lang w:eastAsia="zh-CN"/>
                      <w14:textFill>
                        <w14:solidFill>
                          <w14:schemeClr w14:val="tx1">
                            <w14:lumMod w14:val="95000"/>
                            <w14:lumOff w14:val="5000"/>
                          </w14:schemeClr>
                        </w14:solidFill>
                      </w14:textFill>
                    </w:rPr>
                  </w:pPr>
                  <w:r>
                    <w:rPr>
                      <w:rFonts w:hint="eastAsia" w:eastAsiaTheme="minorEastAsia"/>
                      <w:color w:val="000000" w:themeColor="text1"/>
                      <w:sz w:val="21"/>
                      <w:szCs w:val="21"/>
                      <w:lang w:eastAsia="zh-CN"/>
                      <w14:textFill>
                        <w14:solidFill>
                          <w14:schemeClr w14:val="tx1"/>
                        </w14:solidFill>
                      </w14:textFill>
                    </w:rPr>
                    <w:t>站内最大存储量</w:t>
                  </w:r>
                  <w:r>
                    <w:rPr>
                      <w:rFonts w:hint="eastAsia" w:eastAsiaTheme="minorEastAsia"/>
                      <w:color w:val="000000" w:themeColor="text1"/>
                      <w:sz w:val="21"/>
                      <w:szCs w:val="21"/>
                      <w:lang w:val="en-US" w:eastAsia="zh-CN"/>
                      <w14:textFill>
                        <w14:solidFill>
                          <w14:schemeClr w14:val="tx1"/>
                        </w14:solidFill>
                      </w14:textFill>
                    </w:rPr>
                    <w:t>200L，置于加药箱内，采用计量泵投加</w:t>
                  </w:r>
                </w:p>
              </w:tc>
            </w:tr>
          </w:tbl>
          <w:p>
            <w:pPr>
              <w:keepNext w:val="0"/>
              <w:keepLines w:val="0"/>
              <w:pageBreakBefore w:val="0"/>
              <w:widowControl w:val="0"/>
              <w:kinsoku/>
              <w:wordWrap/>
              <w:overflowPunct/>
              <w:topLinePunct w:val="0"/>
              <w:autoSpaceDE/>
              <w:autoSpaceDN/>
              <w:bidi w:val="0"/>
              <w:adjustRightInd/>
              <w:snapToGrid w:val="0"/>
              <w:spacing w:line="500" w:lineRule="exact"/>
              <w:ind w:firstLine="482" w:firstLineChars="200"/>
              <w:jc w:val="left"/>
              <w:textAlignment w:val="auto"/>
              <w:rPr>
                <w:rFonts w:hint="default" w:ascii="Times New Roman" w:hAnsi="Times New Roman" w:cs="Times New Roman"/>
                <w:b/>
                <w:bCs/>
              </w:rPr>
            </w:pPr>
            <w:r>
              <w:rPr>
                <w:rFonts w:hint="eastAsia" w:cs="Times New Roman"/>
                <w:b/>
                <w:bCs/>
                <w:lang w:val="en-US" w:eastAsia="zh-CN"/>
              </w:rPr>
              <w:t>6、</w:t>
            </w:r>
            <w:r>
              <w:rPr>
                <w:rFonts w:hint="default" w:ascii="Times New Roman" w:hAnsi="Times New Roman" w:cs="Times New Roman"/>
                <w:b/>
                <w:bCs/>
              </w:rPr>
              <w:t>项目地理位置、平面布置及周边关系：</w:t>
            </w:r>
          </w:p>
          <w:p>
            <w:pPr>
              <w:keepNext w:val="0"/>
              <w:keepLines w:val="0"/>
              <w:pageBreakBefore w:val="0"/>
              <w:widowControl w:val="0"/>
              <w:kinsoku/>
              <w:wordWrap/>
              <w:overflowPunct/>
              <w:topLinePunct w:val="0"/>
              <w:autoSpaceDE/>
              <w:autoSpaceDN/>
              <w:bidi w:val="0"/>
              <w:adjustRightInd/>
              <w:spacing w:line="500" w:lineRule="exact"/>
              <w:ind w:firstLine="480" w:firstLineChars="200"/>
              <w:jc w:val="left"/>
              <w:textAlignment w:val="auto"/>
              <w:rPr>
                <w:rFonts w:hint="eastAsia" w:ascii="Times New Roman" w:hAnsi="Times New Roman" w:cs="Times New Roman"/>
                <w:b/>
                <w:bCs/>
                <w:w w:val="100"/>
                <w:sz w:val="21"/>
                <w:szCs w:val="21"/>
                <w:lang w:val="en-US" w:eastAsia="zh-CN"/>
              </w:rPr>
            </w:pPr>
            <w:r>
              <w:rPr>
                <w:rFonts w:hint="default"/>
                <w:color w:val="auto"/>
                <w:lang w:eastAsia="zh-CN"/>
              </w:rPr>
              <w:t>平面布置：</w:t>
            </w:r>
            <w:r>
              <w:t>河流水域生态保护修复工程</w:t>
            </w:r>
            <w:r>
              <w:rPr>
                <w:rFonts w:hint="eastAsia"/>
                <w:lang w:eastAsia="zh-CN"/>
              </w:rPr>
              <w:t>、</w:t>
            </w:r>
            <w:r>
              <w:t>河流缓冲带生态保护修复工程</w:t>
            </w:r>
            <w:r>
              <w:rPr>
                <w:rFonts w:hint="eastAsia"/>
                <w:lang w:eastAsia="zh-CN"/>
              </w:rPr>
              <w:t>、</w:t>
            </w:r>
            <w:r>
              <w:t>污水处理工程</w:t>
            </w:r>
            <w:r>
              <w:rPr>
                <w:rFonts w:hint="default"/>
                <w:color w:val="auto"/>
                <w:lang w:eastAsia="zh-CN"/>
              </w:rPr>
              <w:t>走向</w:t>
            </w:r>
            <w:r>
              <w:rPr>
                <w:rFonts w:hint="eastAsia"/>
                <w:color w:val="auto"/>
                <w:lang w:eastAsia="zh-CN"/>
              </w:rPr>
              <w:t>、</w:t>
            </w:r>
            <w:r>
              <w:rPr>
                <w:rFonts w:hint="default"/>
                <w:color w:val="auto"/>
                <w:lang w:eastAsia="zh-CN"/>
              </w:rPr>
              <w:t>起止点</w:t>
            </w:r>
            <w:r>
              <w:rPr>
                <w:rFonts w:hint="eastAsia"/>
                <w:color w:val="auto"/>
                <w:lang w:eastAsia="zh-CN"/>
              </w:rPr>
              <w:t>、</w:t>
            </w:r>
            <w:r>
              <w:rPr>
                <w:rFonts w:hint="default"/>
                <w:color w:val="auto"/>
                <w:lang w:eastAsia="zh-CN"/>
              </w:rPr>
              <w:t>周边关系见下表，平面布置</w:t>
            </w:r>
            <w:r>
              <w:rPr>
                <w:rFonts w:hint="eastAsia"/>
                <w:color w:val="auto"/>
                <w:lang w:eastAsia="zh-CN"/>
              </w:rPr>
              <w:t>图</w:t>
            </w:r>
            <w:r>
              <w:rPr>
                <w:rFonts w:hint="default"/>
                <w:color w:val="auto"/>
                <w:lang w:eastAsia="zh-CN"/>
              </w:rPr>
              <w:t>见附图</w:t>
            </w:r>
            <w:r>
              <w:rPr>
                <w:rFonts w:hint="eastAsia"/>
                <w:color w:val="auto"/>
                <w:lang w:val="en-US" w:eastAsia="zh-CN"/>
              </w:rPr>
              <w:t>；本项目与生态红线位置关系图见附图。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w w:val="100"/>
                <w:sz w:val="21"/>
                <w:szCs w:val="21"/>
              </w:rPr>
            </w:pPr>
            <w:r>
              <w:rPr>
                <w:rFonts w:hint="eastAsia" w:ascii="Times New Roman" w:hAnsi="Times New Roman" w:cs="Times New Roman"/>
                <w:b/>
                <w:bCs/>
                <w:w w:val="100"/>
                <w:sz w:val="21"/>
                <w:szCs w:val="21"/>
                <w:lang w:val="en-US" w:eastAsia="zh-CN"/>
              </w:rPr>
              <w:t>表</w:t>
            </w:r>
            <w:r>
              <w:rPr>
                <w:rFonts w:hint="eastAsia" w:cs="Times New Roman"/>
                <w:b/>
                <w:bCs/>
                <w:w w:val="100"/>
                <w:sz w:val="21"/>
                <w:szCs w:val="21"/>
                <w:lang w:val="en-US" w:eastAsia="zh-CN"/>
              </w:rPr>
              <w:t>2-9</w:t>
            </w:r>
            <w:r>
              <w:rPr>
                <w:rFonts w:hint="default" w:ascii="Times New Roman" w:hAnsi="Times New Roman" w:cs="Times New Roman"/>
                <w:b/>
                <w:bCs/>
                <w:w w:val="100"/>
                <w:sz w:val="21"/>
                <w:szCs w:val="21"/>
                <w:lang w:val="en-US" w:eastAsia="zh-CN"/>
              </w:rPr>
              <w:t xml:space="preserve">  本</w:t>
            </w:r>
            <w:r>
              <w:rPr>
                <w:rFonts w:hint="default" w:ascii="Times New Roman" w:hAnsi="Times New Roman" w:cs="Times New Roman"/>
                <w:b/>
                <w:bCs/>
                <w:w w:val="100"/>
                <w:sz w:val="21"/>
                <w:szCs w:val="21"/>
              </w:rPr>
              <w:t>项目</w:t>
            </w:r>
            <w:r>
              <w:rPr>
                <w:rFonts w:hint="default" w:ascii="Times New Roman" w:hAnsi="Times New Roman" w:cs="Times New Roman"/>
                <w:b/>
                <w:bCs/>
                <w:w w:val="100"/>
                <w:sz w:val="21"/>
                <w:szCs w:val="21"/>
                <w:lang w:eastAsia="zh-CN"/>
              </w:rPr>
              <w:t>工程</w:t>
            </w:r>
            <w:r>
              <w:rPr>
                <w:rFonts w:hint="default" w:ascii="Times New Roman" w:hAnsi="Times New Roman" w:cs="Times New Roman"/>
                <w:b/>
                <w:bCs/>
                <w:w w:val="100"/>
                <w:sz w:val="21"/>
                <w:szCs w:val="21"/>
                <w:lang w:val="en-US" w:eastAsia="zh-CN"/>
              </w:rPr>
              <w:t>位置及周边关系</w:t>
            </w:r>
            <w:r>
              <w:rPr>
                <w:rFonts w:hint="default" w:ascii="Times New Roman" w:hAnsi="Times New Roman" w:cs="Times New Roman"/>
                <w:b/>
                <w:bCs/>
                <w:w w:val="100"/>
                <w:sz w:val="21"/>
                <w:szCs w:val="21"/>
              </w:rPr>
              <w:t>一览表</w:t>
            </w:r>
          </w:p>
          <w:tbl>
            <w:tblPr>
              <w:tblStyle w:val="16"/>
              <w:tblW w:w="47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1006"/>
              <w:gridCol w:w="843"/>
              <w:gridCol w:w="2432"/>
              <w:gridCol w:w="2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30" w:type="pct"/>
                  <w:tcBorders>
                    <w:tl2br w:val="nil"/>
                    <w:tr2bl w:val="nil"/>
                  </w:tcBorders>
                  <w:noWrap w:val="0"/>
                  <w:vAlign w:val="center"/>
                </w:tcPr>
                <w:p>
                  <w:pPr>
                    <w:bidi w:val="0"/>
                    <w:spacing w:line="240" w:lineRule="auto"/>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项目</w:t>
                  </w:r>
                </w:p>
              </w:tc>
              <w:tc>
                <w:tcPr>
                  <w:tcW w:w="636" w:type="pct"/>
                  <w:tcBorders>
                    <w:tl2br w:val="nil"/>
                    <w:tr2bl w:val="nil"/>
                  </w:tcBorders>
                  <w:noWrap w:val="0"/>
                  <w:vAlign w:val="center"/>
                </w:tcPr>
                <w:p>
                  <w:pPr>
                    <w:bidi w:val="0"/>
                    <w:spacing w:line="240" w:lineRule="auto"/>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区域</w:t>
                  </w:r>
                </w:p>
              </w:tc>
              <w:tc>
                <w:tcPr>
                  <w:tcW w:w="2070" w:type="pct"/>
                  <w:gridSpan w:val="2"/>
                  <w:tcBorders>
                    <w:tl2br w:val="nil"/>
                    <w:tr2bl w:val="nil"/>
                  </w:tcBorders>
                  <w:noWrap w:val="0"/>
                  <w:vAlign w:val="center"/>
                </w:tcPr>
                <w:p>
                  <w:pPr>
                    <w:bidi w:val="0"/>
                    <w:spacing w:line="240" w:lineRule="auto"/>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位置</w:t>
                  </w:r>
                </w:p>
              </w:tc>
              <w:tc>
                <w:tcPr>
                  <w:tcW w:w="1763" w:type="pct"/>
                  <w:tcBorders>
                    <w:tl2br w:val="nil"/>
                    <w:tr2bl w:val="nil"/>
                  </w:tcBorders>
                  <w:noWrap w:val="0"/>
                  <w:vAlign w:val="center"/>
                </w:tcPr>
                <w:p>
                  <w:pPr>
                    <w:bidi w:val="0"/>
                    <w:spacing w:line="240" w:lineRule="auto"/>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影像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0" w:type="pct"/>
                  <w:vMerge w:val="restar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河流水域生态保护修复工程</w:t>
                  </w:r>
                  <w:r>
                    <w:rPr>
                      <w:rFonts w:hint="default" w:ascii="Times New Roman" w:hAnsi="Times New Roman" w:eastAsia="宋体" w:cs="Times New Roman"/>
                      <w:sz w:val="21"/>
                      <w:szCs w:val="21"/>
                      <w:lang w:eastAsia="zh-CN"/>
                    </w:rPr>
                    <w:t>及</w:t>
                  </w:r>
                  <w:r>
                    <w:rPr>
                      <w:rFonts w:hint="default" w:ascii="Times New Roman" w:hAnsi="Times New Roman" w:eastAsia="宋体" w:cs="Times New Roman"/>
                      <w:sz w:val="21"/>
                      <w:szCs w:val="21"/>
                    </w:rPr>
                    <w:t>河流缓冲带生态保护修复工程</w:t>
                  </w:r>
                </w:p>
              </w:tc>
              <w:tc>
                <w:tcPr>
                  <w:tcW w:w="636" w:type="pct"/>
                  <w:vMerge w:val="restar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东陡子峪村</w:t>
                  </w:r>
                  <w:r>
                    <w:rPr>
                      <w:rFonts w:hint="default" w:ascii="Times New Roman" w:hAnsi="Times New Roman" w:eastAsia="宋体" w:cs="Times New Roman"/>
                      <w:sz w:val="21"/>
                      <w:szCs w:val="21"/>
                      <w:lang w:val="en-US" w:eastAsia="zh-CN"/>
                    </w:rPr>
                    <w:t>1段工程</w:t>
                  </w:r>
                </w:p>
              </w:tc>
              <w:tc>
                <w:tcPr>
                  <w:tcW w:w="533" w:type="pct"/>
                  <w:vMerge w:val="restar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坐标</w:t>
                  </w:r>
                </w:p>
              </w:tc>
              <w:tc>
                <w:tcPr>
                  <w:tcW w:w="1536"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起点：</w:t>
                  </w:r>
                  <w:r>
                    <w:rPr>
                      <w:rFonts w:hint="default" w:ascii="Times New Roman" w:hAnsi="Times New Roman" w:eastAsia="宋体" w:cs="Times New Roman"/>
                      <w:sz w:val="21"/>
                      <w:szCs w:val="21"/>
                    </w:rPr>
                    <w:t>东经117°19′8.86"</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北纬40°18′3.21"</w:t>
                  </w:r>
                </w:p>
              </w:tc>
              <w:tc>
                <w:tcPr>
                  <w:tcW w:w="1763" w:type="pct"/>
                  <w:vMerge w:val="restar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drawing>
                      <wp:anchor distT="0" distB="0" distL="114300" distR="114300" simplePos="0" relativeHeight="251662336" behindDoc="0" locked="0" layoutInCell="1" allowOverlap="1">
                        <wp:simplePos x="0" y="0"/>
                        <wp:positionH relativeFrom="column">
                          <wp:posOffset>-49530</wp:posOffset>
                        </wp:positionH>
                        <wp:positionV relativeFrom="paragraph">
                          <wp:posOffset>-153035</wp:posOffset>
                        </wp:positionV>
                        <wp:extent cx="1741170" cy="1817370"/>
                        <wp:effectExtent l="0" t="0" r="11430" b="11430"/>
                        <wp:wrapTopAndBottom/>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10"/>
                                <a:stretch>
                                  <a:fillRect/>
                                </a:stretch>
                              </pic:blipFill>
                              <pic:spPr>
                                <a:xfrm>
                                  <a:off x="0" y="0"/>
                                  <a:ext cx="1741170" cy="18173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636"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53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1536" w:type="pct"/>
                  <w:tcBorders>
                    <w:tl2br w:val="nil"/>
                    <w:tr2bl w:val="nil"/>
                  </w:tcBorders>
                  <w:noWrap w:val="0"/>
                  <w:vAlign w:val="center"/>
                </w:tcPr>
                <w:p>
                  <w:pPr>
                    <w:bidi w:val="0"/>
                    <w:spacing w:line="240" w:lineRule="auto"/>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终点：</w:t>
                  </w:r>
                  <w:r>
                    <w:rPr>
                      <w:rFonts w:hint="default" w:ascii="Times New Roman" w:hAnsi="Times New Roman" w:eastAsia="宋体" w:cs="Times New Roman"/>
                      <w:sz w:val="21"/>
                      <w:szCs w:val="21"/>
                    </w:rPr>
                    <w:t>东经117°19′10.02"</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北纬40°17′56.8"</w:t>
                  </w:r>
                </w:p>
              </w:tc>
              <w:tc>
                <w:tcPr>
                  <w:tcW w:w="176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94"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636"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533"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周边</w:t>
                  </w:r>
                </w:p>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关系</w:t>
                  </w:r>
                </w:p>
              </w:tc>
              <w:tc>
                <w:tcPr>
                  <w:tcW w:w="1536"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周边</w:t>
                  </w:r>
                  <w:r>
                    <w:rPr>
                      <w:rFonts w:hint="default" w:ascii="Times New Roman" w:hAnsi="Times New Roman" w:eastAsia="宋体" w:cs="Times New Roman"/>
                      <w:sz w:val="21"/>
                      <w:szCs w:val="21"/>
                    </w:rPr>
                    <w:t>东陡子峪村</w:t>
                  </w:r>
                  <w:r>
                    <w:rPr>
                      <w:rFonts w:hint="default" w:ascii="Times New Roman" w:hAnsi="Times New Roman" w:eastAsia="宋体" w:cs="Times New Roman"/>
                      <w:sz w:val="21"/>
                      <w:szCs w:val="21"/>
                      <w:lang w:eastAsia="zh-CN"/>
                    </w:rPr>
                    <w:t>居民</w:t>
                  </w:r>
                </w:p>
              </w:tc>
              <w:tc>
                <w:tcPr>
                  <w:tcW w:w="176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7"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636"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533"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保护目标</w:t>
                  </w:r>
                </w:p>
              </w:tc>
              <w:tc>
                <w:tcPr>
                  <w:tcW w:w="1536"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周边</w:t>
                  </w:r>
                  <w:r>
                    <w:rPr>
                      <w:rFonts w:hint="default" w:ascii="Times New Roman" w:hAnsi="Times New Roman" w:eastAsia="宋体" w:cs="Times New Roman"/>
                      <w:sz w:val="21"/>
                      <w:szCs w:val="21"/>
                    </w:rPr>
                    <w:t>东陡子峪村</w:t>
                  </w:r>
                  <w:r>
                    <w:rPr>
                      <w:rFonts w:hint="default" w:ascii="Times New Roman" w:hAnsi="Times New Roman" w:eastAsia="宋体" w:cs="Times New Roman"/>
                      <w:sz w:val="21"/>
                      <w:szCs w:val="21"/>
                      <w:lang w:eastAsia="zh-CN"/>
                    </w:rPr>
                    <w:t>居民及周边</w:t>
                  </w:r>
                  <w:r>
                    <w:rPr>
                      <w:rFonts w:hint="default" w:ascii="Times New Roman" w:hAnsi="Times New Roman" w:eastAsia="宋体" w:cs="Times New Roman"/>
                      <w:sz w:val="21"/>
                      <w:szCs w:val="21"/>
                      <w:lang w:val="en-US" w:eastAsia="zh-CN"/>
                    </w:rPr>
                    <w:t>将军关石河</w:t>
                  </w:r>
                </w:p>
              </w:tc>
              <w:tc>
                <w:tcPr>
                  <w:tcW w:w="176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636" w:type="pct"/>
                  <w:vMerge w:val="restar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东陡子峪村</w:t>
                  </w:r>
                  <w:r>
                    <w:rPr>
                      <w:rFonts w:hint="default" w:ascii="Times New Roman" w:hAnsi="Times New Roman" w:eastAsia="宋体" w:cs="Times New Roman"/>
                      <w:sz w:val="21"/>
                      <w:szCs w:val="21"/>
                      <w:lang w:val="en-US" w:eastAsia="zh-CN"/>
                    </w:rPr>
                    <w:t>2段工程</w:t>
                  </w:r>
                </w:p>
              </w:tc>
              <w:tc>
                <w:tcPr>
                  <w:tcW w:w="533" w:type="pct"/>
                  <w:vMerge w:val="restar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坐标</w:t>
                  </w:r>
                </w:p>
              </w:tc>
              <w:tc>
                <w:tcPr>
                  <w:tcW w:w="1536" w:type="pct"/>
                  <w:tcBorders>
                    <w:tl2br w:val="nil"/>
                    <w:tr2bl w:val="nil"/>
                  </w:tcBorders>
                  <w:noWrap w:val="0"/>
                  <w:vAlign w:val="center"/>
                </w:tcPr>
                <w:p>
                  <w:pPr>
                    <w:bidi w:val="0"/>
                    <w:spacing w:line="240" w:lineRule="auto"/>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起点：</w:t>
                  </w:r>
                  <w:r>
                    <w:rPr>
                      <w:rFonts w:hint="default" w:ascii="Times New Roman" w:hAnsi="Times New Roman" w:eastAsia="宋体" w:cs="Times New Roman"/>
                      <w:sz w:val="21"/>
                      <w:szCs w:val="21"/>
                    </w:rPr>
                    <w:t>东经117°19′16.83"</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北纬40°17′46.66"</w:t>
                  </w:r>
                </w:p>
              </w:tc>
              <w:tc>
                <w:tcPr>
                  <w:tcW w:w="1763" w:type="pct"/>
                  <w:vMerge w:val="restar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drawing>
                      <wp:anchor distT="0" distB="0" distL="114300" distR="114300" simplePos="0" relativeHeight="251662336" behindDoc="0" locked="0" layoutInCell="1" allowOverlap="1">
                        <wp:simplePos x="0" y="0"/>
                        <wp:positionH relativeFrom="column">
                          <wp:posOffset>-1203960</wp:posOffset>
                        </wp:positionH>
                        <wp:positionV relativeFrom="paragraph">
                          <wp:posOffset>1590040</wp:posOffset>
                        </wp:positionV>
                        <wp:extent cx="4277995" cy="1464945"/>
                        <wp:effectExtent l="0" t="0" r="1905" b="8255"/>
                        <wp:wrapTopAndBottom/>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11"/>
                                <a:stretch>
                                  <a:fillRect/>
                                </a:stretch>
                              </pic:blipFill>
                              <pic:spPr>
                                <a:xfrm rot="16200000">
                                  <a:off x="0" y="0"/>
                                  <a:ext cx="4277995" cy="14649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636"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rPr>
                  </w:pPr>
                </w:p>
              </w:tc>
              <w:tc>
                <w:tcPr>
                  <w:tcW w:w="53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1536"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终点：</w:t>
                  </w:r>
                  <w:r>
                    <w:rPr>
                      <w:rFonts w:hint="default" w:ascii="Times New Roman" w:hAnsi="Times New Roman" w:eastAsia="宋体" w:cs="Times New Roman"/>
                      <w:sz w:val="21"/>
                      <w:szCs w:val="21"/>
                    </w:rPr>
                    <w:t>东经117°19′2.5"</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北纬40°17′42.5</w:t>
                  </w:r>
                  <w:r>
                    <w:rPr>
                      <w:rFonts w:hint="default"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rPr>
                    <w:t>"</w:t>
                  </w:r>
                </w:p>
              </w:tc>
              <w:tc>
                <w:tcPr>
                  <w:tcW w:w="176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4"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636"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rPr>
                  </w:pPr>
                </w:p>
              </w:tc>
              <w:tc>
                <w:tcPr>
                  <w:tcW w:w="533"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周边</w:t>
                  </w:r>
                </w:p>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关系</w:t>
                  </w:r>
                </w:p>
              </w:tc>
              <w:tc>
                <w:tcPr>
                  <w:tcW w:w="1536"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周边</w:t>
                  </w:r>
                  <w:r>
                    <w:rPr>
                      <w:rFonts w:hint="default" w:ascii="Times New Roman" w:hAnsi="Times New Roman" w:eastAsia="宋体" w:cs="Times New Roman"/>
                      <w:sz w:val="21"/>
                      <w:szCs w:val="21"/>
                    </w:rPr>
                    <w:t>东陡子峪村</w:t>
                  </w:r>
                  <w:r>
                    <w:rPr>
                      <w:rFonts w:hint="default" w:ascii="Times New Roman" w:hAnsi="Times New Roman" w:eastAsia="宋体" w:cs="Times New Roman"/>
                      <w:sz w:val="21"/>
                      <w:szCs w:val="21"/>
                      <w:lang w:eastAsia="zh-CN"/>
                    </w:rPr>
                    <w:t>居民</w:t>
                  </w:r>
                </w:p>
              </w:tc>
              <w:tc>
                <w:tcPr>
                  <w:tcW w:w="176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636"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rPr>
                  </w:pPr>
                </w:p>
              </w:tc>
              <w:tc>
                <w:tcPr>
                  <w:tcW w:w="533"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保护目标</w:t>
                  </w:r>
                </w:p>
              </w:tc>
              <w:tc>
                <w:tcPr>
                  <w:tcW w:w="1536"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周边</w:t>
                  </w:r>
                  <w:r>
                    <w:rPr>
                      <w:rFonts w:hint="default" w:ascii="Times New Roman" w:hAnsi="Times New Roman" w:eastAsia="宋体" w:cs="Times New Roman"/>
                      <w:sz w:val="21"/>
                      <w:szCs w:val="21"/>
                    </w:rPr>
                    <w:t>东陡子峪村</w:t>
                  </w:r>
                  <w:r>
                    <w:rPr>
                      <w:rFonts w:hint="default" w:ascii="Times New Roman" w:hAnsi="Times New Roman" w:eastAsia="宋体" w:cs="Times New Roman"/>
                      <w:sz w:val="21"/>
                      <w:szCs w:val="21"/>
                      <w:lang w:eastAsia="zh-CN"/>
                    </w:rPr>
                    <w:t>居民及周边</w:t>
                  </w:r>
                  <w:r>
                    <w:rPr>
                      <w:rFonts w:hint="default" w:ascii="Times New Roman" w:hAnsi="Times New Roman" w:eastAsia="宋体" w:cs="Times New Roman"/>
                      <w:sz w:val="21"/>
                      <w:szCs w:val="21"/>
                      <w:lang w:val="en-US" w:eastAsia="zh-CN"/>
                    </w:rPr>
                    <w:t>将军关石河</w:t>
                  </w:r>
                  <w:r>
                    <w:rPr>
                      <w:rFonts w:hint="eastAsia" w:ascii="Times New Roman" w:hAnsi="Times New Roman" w:eastAsia="宋体" w:cs="Times New Roman"/>
                      <w:sz w:val="21"/>
                      <w:szCs w:val="21"/>
                      <w:lang w:val="en-US" w:eastAsia="zh-CN"/>
                    </w:rPr>
                    <w:t>支流</w:t>
                  </w:r>
                </w:p>
              </w:tc>
              <w:tc>
                <w:tcPr>
                  <w:tcW w:w="176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636" w:type="pct"/>
                  <w:vMerge w:val="restar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西陡子峪村</w:t>
                  </w:r>
                  <w:r>
                    <w:rPr>
                      <w:rFonts w:hint="default" w:ascii="Times New Roman" w:hAnsi="Times New Roman" w:eastAsia="宋体" w:cs="Times New Roman"/>
                      <w:sz w:val="21"/>
                      <w:szCs w:val="21"/>
                      <w:lang w:val="en-US" w:eastAsia="zh-CN"/>
                    </w:rPr>
                    <w:t>1段工程</w:t>
                  </w:r>
                </w:p>
              </w:tc>
              <w:tc>
                <w:tcPr>
                  <w:tcW w:w="533" w:type="pct"/>
                  <w:vMerge w:val="restar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坐标</w:t>
                  </w:r>
                </w:p>
              </w:tc>
              <w:tc>
                <w:tcPr>
                  <w:tcW w:w="1536" w:type="pct"/>
                  <w:tcBorders>
                    <w:tl2br w:val="nil"/>
                    <w:tr2bl w:val="nil"/>
                  </w:tcBorders>
                  <w:noWrap w:val="0"/>
                  <w:vAlign w:val="center"/>
                </w:tcPr>
                <w:p>
                  <w:pPr>
                    <w:bidi w:val="0"/>
                    <w:spacing w:line="240" w:lineRule="auto"/>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起点：</w:t>
                  </w:r>
                  <w:r>
                    <w:rPr>
                      <w:rFonts w:hint="default" w:ascii="Times New Roman" w:hAnsi="Times New Roman" w:eastAsia="宋体" w:cs="Times New Roman"/>
                      <w:sz w:val="21"/>
                      <w:szCs w:val="21"/>
                    </w:rPr>
                    <w:t>东经117°17′47.9</w:t>
                  </w: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北纬40°18′48.8</w:t>
                  </w:r>
                  <w:r>
                    <w:rPr>
                      <w:rFonts w:hint="default"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rPr>
                    <w:t>"</w:t>
                  </w:r>
                </w:p>
              </w:tc>
              <w:tc>
                <w:tcPr>
                  <w:tcW w:w="1763" w:type="pct"/>
                  <w:vMerge w:val="restar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drawing>
                      <wp:anchor distT="0" distB="0" distL="114300" distR="114300" simplePos="0" relativeHeight="251662336" behindDoc="0" locked="0" layoutInCell="1" allowOverlap="1">
                        <wp:simplePos x="0" y="0"/>
                        <wp:positionH relativeFrom="column">
                          <wp:posOffset>-875030</wp:posOffset>
                        </wp:positionH>
                        <wp:positionV relativeFrom="paragraph">
                          <wp:posOffset>840740</wp:posOffset>
                        </wp:positionV>
                        <wp:extent cx="3395345" cy="1749425"/>
                        <wp:effectExtent l="0" t="0" r="3175" b="14605"/>
                        <wp:wrapTopAndBottom/>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12"/>
                                <a:stretch>
                                  <a:fillRect/>
                                </a:stretch>
                              </pic:blipFill>
                              <pic:spPr>
                                <a:xfrm rot="16200000">
                                  <a:off x="0" y="0"/>
                                  <a:ext cx="3395345" cy="17494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636"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53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1536"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终点：</w:t>
                  </w:r>
                  <w:r>
                    <w:rPr>
                      <w:rFonts w:hint="default" w:ascii="Times New Roman" w:hAnsi="Times New Roman" w:eastAsia="宋体" w:cs="Times New Roman"/>
                      <w:sz w:val="21"/>
                      <w:szCs w:val="21"/>
                    </w:rPr>
                    <w:t>东经117°18′3.08"</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北纬40°18′40.71"</w:t>
                  </w:r>
                </w:p>
              </w:tc>
              <w:tc>
                <w:tcPr>
                  <w:tcW w:w="176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636"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533"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周边</w:t>
                  </w:r>
                </w:p>
                <w:p>
                  <w:pPr>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关系</w:t>
                  </w:r>
                </w:p>
              </w:tc>
              <w:tc>
                <w:tcPr>
                  <w:tcW w:w="1536"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周边</w:t>
                  </w:r>
                  <w:r>
                    <w:rPr>
                      <w:rFonts w:hint="default" w:ascii="Times New Roman" w:hAnsi="Times New Roman" w:eastAsia="宋体" w:cs="Times New Roman"/>
                      <w:sz w:val="21"/>
                      <w:szCs w:val="21"/>
                    </w:rPr>
                    <w:t>西陡子峪村</w:t>
                  </w:r>
                  <w:r>
                    <w:rPr>
                      <w:rFonts w:hint="default" w:ascii="Times New Roman" w:hAnsi="Times New Roman" w:eastAsia="宋体" w:cs="Times New Roman"/>
                      <w:sz w:val="21"/>
                      <w:szCs w:val="21"/>
                      <w:lang w:val="en-US" w:eastAsia="zh-CN"/>
                    </w:rPr>
                    <w:t>居民</w:t>
                  </w:r>
                  <w:r>
                    <w:rPr>
                      <w:rFonts w:hint="default" w:ascii="Times New Roman" w:hAnsi="Times New Roman" w:eastAsia="宋体" w:cs="Times New Roman"/>
                      <w:sz w:val="21"/>
                      <w:szCs w:val="21"/>
                      <w:lang w:eastAsia="zh-CN"/>
                    </w:rPr>
                    <w:t>及</w:t>
                  </w:r>
                  <w:r>
                    <w:rPr>
                      <w:rFonts w:hint="default" w:ascii="Times New Roman" w:hAnsi="Times New Roman" w:eastAsia="宋体" w:cs="Times New Roman"/>
                      <w:sz w:val="21"/>
                      <w:szCs w:val="21"/>
                      <w:lang w:val="en-US" w:eastAsia="zh-CN"/>
                    </w:rPr>
                    <w:t>将军关石河</w:t>
                  </w:r>
                  <w:r>
                    <w:rPr>
                      <w:rFonts w:hint="default" w:ascii="Times New Roman" w:hAnsi="Times New Roman" w:eastAsia="宋体" w:cs="Times New Roman"/>
                      <w:sz w:val="21"/>
                      <w:szCs w:val="21"/>
                      <w:lang w:eastAsia="zh-CN"/>
                    </w:rPr>
                    <w:t>支流</w:t>
                  </w:r>
                </w:p>
              </w:tc>
              <w:tc>
                <w:tcPr>
                  <w:tcW w:w="176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84"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636"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533"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保护目标</w:t>
                  </w:r>
                </w:p>
              </w:tc>
              <w:tc>
                <w:tcPr>
                  <w:tcW w:w="1536"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周边</w:t>
                  </w:r>
                  <w:r>
                    <w:rPr>
                      <w:rFonts w:hint="default" w:ascii="Times New Roman" w:hAnsi="Times New Roman" w:eastAsia="宋体" w:cs="Times New Roman"/>
                      <w:sz w:val="21"/>
                      <w:szCs w:val="21"/>
                    </w:rPr>
                    <w:t>西陡子峪村</w:t>
                  </w:r>
                  <w:r>
                    <w:rPr>
                      <w:rFonts w:hint="default" w:ascii="Times New Roman" w:hAnsi="Times New Roman" w:eastAsia="宋体" w:cs="Times New Roman"/>
                      <w:sz w:val="21"/>
                      <w:szCs w:val="21"/>
                      <w:lang w:val="en-US" w:eastAsia="zh-CN"/>
                    </w:rPr>
                    <w:t>居民</w:t>
                  </w:r>
                  <w:r>
                    <w:rPr>
                      <w:rFonts w:hint="default" w:ascii="Times New Roman" w:hAnsi="Times New Roman" w:eastAsia="宋体" w:cs="Times New Roman"/>
                      <w:sz w:val="21"/>
                      <w:szCs w:val="21"/>
                      <w:lang w:eastAsia="zh-CN"/>
                    </w:rPr>
                    <w:t>及</w:t>
                  </w:r>
                  <w:r>
                    <w:rPr>
                      <w:rFonts w:hint="default" w:ascii="Times New Roman" w:hAnsi="Times New Roman" w:eastAsia="宋体" w:cs="Times New Roman"/>
                      <w:sz w:val="21"/>
                      <w:szCs w:val="21"/>
                      <w:lang w:val="en-US" w:eastAsia="zh-CN"/>
                    </w:rPr>
                    <w:t>将军关石河</w:t>
                  </w:r>
                  <w:r>
                    <w:rPr>
                      <w:rFonts w:hint="default" w:ascii="Times New Roman" w:hAnsi="Times New Roman" w:eastAsia="宋体" w:cs="Times New Roman"/>
                      <w:sz w:val="21"/>
                      <w:szCs w:val="21"/>
                      <w:lang w:eastAsia="zh-CN"/>
                    </w:rPr>
                    <w:t>支流</w:t>
                  </w:r>
                </w:p>
              </w:tc>
              <w:tc>
                <w:tcPr>
                  <w:tcW w:w="176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636" w:type="pct"/>
                  <w:vMerge w:val="restar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西陡子峪村</w:t>
                  </w:r>
                  <w:r>
                    <w:rPr>
                      <w:rFonts w:hint="default" w:ascii="Times New Roman" w:hAnsi="Times New Roman" w:eastAsia="宋体" w:cs="Times New Roman"/>
                      <w:sz w:val="21"/>
                      <w:szCs w:val="21"/>
                      <w:lang w:val="en-US" w:eastAsia="zh-CN"/>
                    </w:rPr>
                    <w:t>2段工程</w:t>
                  </w:r>
                </w:p>
              </w:tc>
              <w:tc>
                <w:tcPr>
                  <w:tcW w:w="533" w:type="pct"/>
                  <w:vMerge w:val="restar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坐标</w:t>
                  </w:r>
                </w:p>
              </w:tc>
              <w:tc>
                <w:tcPr>
                  <w:tcW w:w="1536"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起点：</w:t>
                  </w:r>
                  <w:r>
                    <w:rPr>
                      <w:rFonts w:hint="default" w:ascii="Times New Roman" w:hAnsi="Times New Roman" w:eastAsia="宋体" w:cs="Times New Roman"/>
                      <w:sz w:val="21"/>
                      <w:szCs w:val="21"/>
                    </w:rPr>
                    <w:t>东经117°18′8.5</w:t>
                  </w:r>
                  <w:r>
                    <w:rPr>
                      <w:rFonts w:hint="default"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北纬40°18′37.08"</w:t>
                  </w:r>
                </w:p>
              </w:tc>
              <w:tc>
                <w:tcPr>
                  <w:tcW w:w="1763" w:type="pct"/>
                  <w:vMerge w:val="restar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drawing>
                      <wp:anchor distT="0" distB="0" distL="114300" distR="114300" simplePos="0" relativeHeight="251663360" behindDoc="0" locked="0" layoutInCell="1" allowOverlap="1">
                        <wp:simplePos x="0" y="0"/>
                        <wp:positionH relativeFrom="column">
                          <wp:posOffset>-725805</wp:posOffset>
                        </wp:positionH>
                        <wp:positionV relativeFrom="paragraph">
                          <wp:posOffset>679450</wp:posOffset>
                        </wp:positionV>
                        <wp:extent cx="3110865" cy="1739265"/>
                        <wp:effectExtent l="0" t="0" r="13335" b="13335"/>
                        <wp:wrapTopAndBottom/>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pic:cNvPicPr>
                              </pic:nvPicPr>
                              <pic:blipFill>
                                <a:blip r:embed="rId13"/>
                                <a:stretch>
                                  <a:fillRect/>
                                </a:stretch>
                              </pic:blipFill>
                              <pic:spPr>
                                <a:xfrm rot="16200000">
                                  <a:off x="0" y="0"/>
                                  <a:ext cx="3110865" cy="17392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636"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53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1536" w:type="pct"/>
                  <w:tcBorders>
                    <w:tl2br w:val="nil"/>
                    <w:tr2bl w:val="nil"/>
                  </w:tcBorders>
                  <w:noWrap w:val="0"/>
                  <w:vAlign w:val="center"/>
                </w:tcPr>
                <w:p>
                  <w:pPr>
                    <w:bidi w:val="0"/>
                    <w:spacing w:line="240" w:lineRule="auto"/>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终点：</w:t>
                  </w:r>
                  <w:r>
                    <w:rPr>
                      <w:rFonts w:hint="default" w:ascii="Times New Roman" w:hAnsi="Times New Roman" w:eastAsia="宋体" w:cs="Times New Roman"/>
                      <w:sz w:val="21"/>
                      <w:szCs w:val="21"/>
                    </w:rPr>
                    <w:t>东经117°18′13.50"</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北纬40°18′33.0</w:t>
                  </w: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w:t>
                  </w:r>
                </w:p>
              </w:tc>
              <w:tc>
                <w:tcPr>
                  <w:tcW w:w="176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636"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533"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周边</w:t>
                  </w:r>
                </w:p>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关系</w:t>
                  </w:r>
                </w:p>
              </w:tc>
              <w:tc>
                <w:tcPr>
                  <w:tcW w:w="1536"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周边</w:t>
                  </w:r>
                  <w:r>
                    <w:rPr>
                      <w:rFonts w:hint="default" w:ascii="Times New Roman" w:hAnsi="Times New Roman" w:eastAsia="宋体" w:cs="Times New Roman"/>
                      <w:sz w:val="21"/>
                      <w:szCs w:val="21"/>
                    </w:rPr>
                    <w:t>西陡子峪村</w:t>
                  </w:r>
                  <w:r>
                    <w:rPr>
                      <w:rFonts w:hint="default" w:ascii="Times New Roman" w:hAnsi="Times New Roman" w:eastAsia="宋体" w:cs="Times New Roman"/>
                      <w:sz w:val="21"/>
                      <w:szCs w:val="21"/>
                      <w:lang w:val="en-US" w:eastAsia="zh-CN"/>
                    </w:rPr>
                    <w:t>居民</w:t>
                  </w:r>
                  <w:r>
                    <w:rPr>
                      <w:rFonts w:hint="default" w:ascii="Times New Roman" w:hAnsi="Times New Roman" w:eastAsia="宋体" w:cs="Times New Roman"/>
                      <w:sz w:val="21"/>
                      <w:szCs w:val="21"/>
                      <w:lang w:eastAsia="zh-CN"/>
                    </w:rPr>
                    <w:t>及</w:t>
                  </w:r>
                  <w:r>
                    <w:rPr>
                      <w:rFonts w:hint="default" w:ascii="Times New Roman" w:hAnsi="Times New Roman" w:eastAsia="宋体" w:cs="Times New Roman"/>
                      <w:sz w:val="21"/>
                      <w:szCs w:val="21"/>
                      <w:lang w:val="en-US" w:eastAsia="zh-CN"/>
                    </w:rPr>
                    <w:t>将军关石河</w:t>
                  </w:r>
                  <w:r>
                    <w:rPr>
                      <w:rFonts w:hint="default" w:ascii="Times New Roman" w:hAnsi="Times New Roman" w:eastAsia="宋体" w:cs="Times New Roman"/>
                      <w:sz w:val="21"/>
                      <w:szCs w:val="21"/>
                      <w:lang w:eastAsia="zh-CN"/>
                    </w:rPr>
                    <w:t>支流</w:t>
                  </w:r>
                </w:p>
              </w:tc>
              <w:tc>
                <w:tcPr>
                  <w:tcW w:w="176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41"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636"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533"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保护目标</w:t>
                  </w:r>
                </w:p>
              </w:tc>
              <w:tc>
                <w:tcPr>
                  <w:tcW w:w="1536"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周边</w:t>
                  </w:r>
                  <w:r>
                    <w:rPr>
                      <w:rFonts w:hint="default" w:ascii="Times New Roman" w:hAnsi="Times New Roman" w:eastAsia="宋体" w:cs="Times New Roman"/>
                      <w:sz w:val="21"/>
                      <w:szCs w:val="21"/>
                    </w:rPr>
                    <w:t>西陡子峪村</w:t>
                  </w:r>
                  <w:r>
                    <w:rPr>
                      <w:rFonts w:hint="default" w:ascii="Times New Roman" w:hAnsi="Times New Roman" w:eastAsia="宋体" w:cs="Times New Roman"/>
                      <w:sz w:val="21"/>
                      <w:szCs w:val="21"/>
                      <w:lang w:val="en-US" w:eastAsia="zh-CN"/>
                    </w:rPr>
                    <w:t>居民</w:t>
                  </w:r>
                  <w:r>
                    <w:rPr>
                      <w:rFonts w:hint="default" w:ascii="Times New Roman" w:hAnsi="Times New Roman" w:eastAsia="宋体" w:cs="Times New Roman"/>
                      <w:sz w:val="21"/>
                      <w:szCs w:val="21"/>
                      <w:lang w:eastAsia="zh-CN"/>
                    </w:rPr>
                    <w:t>及</w:t>
                  </w:r>
                  <w:r>
                    <w:rPr>
                      <w:rFonts w:hint="default" w:ascii="Times New Roman" w:hAnsi="Times New Roman" w:eastAsia="宋体" w:cs="Times New Roman"/>
                      <w:sz w:val="21"/>
                      <w:szCs w:val="21"/>
                      <w:lang w:val="en-US" w:eastAsia="zh-CN"/>
                    </w:rPr>
                    <w:t>将军关石河</w:t>
                  </w:r>
                  <w:r>
                    <w:rPr>
                      <w:rFonts w:hint="default" w:ascii="Times New Roman" w:hAnsi="Times New Roman" w:eastAsia="宋体" w:cs="Times New Roman"/>
                      <w:sz w:val="21"/>
                      <w:szCs w:val="21"/>
                      <w:lang w:eastAsia="zh-CN"/>
                    </w:rPr>
                    <w:t>支流</w:t>
                  </w:r>
                </w:p>
              </w:tc>
              <w:tc>
                <w:tcPr>
                  <w:tcW w:w="176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636" w:type="pct"/>
                  <w:vMerge w:val="restar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思家岭村</w:t>
                  </w:r>
                  <w:r>
                    <w:rPr>
                      <w:rFonts w:hint="default" w:ascii="Times New Roman" w:hAnsi="Times New Roman" w:eastAsia="宋体" w:cs="Times New Roman"/>
                      <w:sz w:val="21"/>
                      <w:szCs w:val="21"/>
                      <w:lang w:val="en-US" w:eastAsia="zh-CN"/>
                    </w:rPr>
                    <w:t>1段工程</w:t>
                  </w:r>
                </w:p>
              </w:tc>
              <w:tc>
                <w:tcPr>
                  <w:tcW w:w="533" w:type="pct"/>
                  <w:vMerge w:val="restar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坐标</w:t>
                  </w:r>
                </w:p>
              </w:tc>
              <w:tc>
                <w:tcPr>
                  <w:tcW w:w="1536" w:type="pct"/>
                  <w:tcBorders>
                    <w:tl2br w:val="nil"/>
                    <w:tr2bl w:val="nil"/>
                  </w:tcBorders>
                  <w:noWrap w:val="0"/>
                  <w:vAlign w:val="center"/>
                </w:tcPr>
                <w:p>
                  <w:pPr>
                    <w:bidi w:val="0"/>
                    <w:spacing w:line="240" w:lineRule="auto"/>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起点：</w:t>
                  </w:r>
                  <w:r>
                    <w:rPr>
                      <w:rFonts w:hint="default" w:ascii="Times New Roman" w:hAnsi="Times New Roman" w:eastAsia="宋体" w:cs="Times New Roman"/>
                      <w:sz w:val="21"/>
                      <w:szCs w:val="21"/>
                    </w:rPr>
                    <w:t>东经117°19′38.8</w:t>
                  </w: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rPr>
                    <w:t>"，北纬40°20′25.51"</w:t>
                  </w:r>
                </w:p>
              </w:tc>
              <w:tc>
                <w:tcPr>
                  <w:tcW w:w="1763" w:type="pct"/>
                  <w:vMerge w:val="restar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drawing>
                      <wp:anchor distT="0" distB="0" distL="114300" distR="114300" simplePos="0" relativeHeight="251664384" behindDoc="0" locked="0" layoutInCell="1" allowOverlap="1">
                        <wp:simplePos x="0" y="0"/>
                        <wp:positionH relativeFrom="column">
                          <wp:posOffset>15875</wp:posOffset>
                        </wp:positionH>
                        <wp:positionV relativeFrom="paragraph">
                          <wp:posOffset>-1707515</wp:posOffset>
                        </wp:positionV>
                        <wp:extent cx="1700530" cy="1764030"/>
                        <wp:effectExtent l="0" t="0" r="13970" b="7620"/>
                        <wp:wrapTopAndBottom/>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pic:cNvPicPr>
                              </pic:nvPicPr>
                              <pic:blipFill>
                                <a:blip r:embed="rId14"/>
                                <a:stretch>
                                  <a:fillRect/>
                                </a:stretch>
                              </pic:blipFill>
                              <pic:spPr>
                                <a:xfrm>
                                  <a:off x="0" y="0"/>
                                  <a:ext cx="1700530" cy="17640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rPr>
                  </w:pPr>
                </w:p>
              </w:tc>
              <w:tc>
                <w:tcPr>
                  <w:tcW w:w="636"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rPr>
                  </w:pPr>
                </w:p>
              </w:tc>
              <w:tc>
                <w:tcPr>
                  <w:tcW w:w="53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rPr>
                  </w:pPr>
                </w:p>
              </w:tc>
              <w:tc>
                <w:tcPr>
                  <w:tcW w:w="1536" w:type="pct"/>
                  <w:tcBorders>
                    <w:tl2br w:val="nil"/>
                    <w:tr2bl w:val="nil"/>
                  </w:tcBorders>
                  <w:noWrap w:val="0"/>
                  <w:vAlign w:val="center"/>
                </w:tcPr>
                <w:p>
                  <w:pPr>
                    <w:bidi w:val="0"/>
                    <w:spacing w:line="240" w:lineRule="auto"/>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终点：</w:t>
                  </w:r>
                  <w:r>
                    <w:rPr>
                      <w:rFonts w:hint="default" w:ascii="Times New Roman" w:hAnsi="Times New Roman" w:eastAsia="宋体" w:cs="Times New Roman"/>
                      <w:sz w:val="21"/>
                      <w:szCs w:val="21"/>
                    </w:rPr>
                    <w:t>东经117°19′43.17"</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北纬40°20′18.44"</w:t>
                  </w:r>
                </w:p>
              </w:tc>
              <w:tc>
                <w:tcPr>
                  <w:tcW w:w="176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636"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533"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周边</w:t>
                  </w:r>
                </w:p>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关系</w:t>
                  </w:r>
                </w:p>
              </w:tc>
              <w:tc>
                <w:tcPr>
                  <w:tcW w:w="1536"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周边</w:t>
                  </w:r>
                  <w:r>
                    <w:rPr>
                      <w:rFonts w:hint="default" w:ascii="Times New Roman" w:hAnsi="Times New Roman" w:eastAsia="宋体" w:cs="Times New Roman"/>
                      <w:sz w:val="21"/>
                      <w:szCs w:val="21"/>
                      <w:lang w:val="en-US" w:eastAsia="zh-CN"/>
                    </w:rPr>
                    <w:t>将军关石河</w:t>
                  </w:r>
                </w:p>
              </w:tc>
              <w:tc>
                <w:tcPr>
                  <w:tcW w:w="176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5"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636"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533"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保护目标</w:t>
                  </w:r>
                </w:p>
              </w:tc>
              <w:tc>
                <w:tcPr>
                  <w:tcW w:w="1536"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周边</w:t>
                  </w:r>
                  <w:r>
                    <w:rPr>
                      <w:rFonts w:hint="default" w:ascii="Times New Roman" w:hAnsi="Times New Roman" w:eastAsia="宋体" w:cs="Times New Roman"/>
                      <w:sz w:val="21"/>
                      <w:szCs w:val="21"/>
                      <w:lang w:val="en-US" w:eastAsia="zh-CN"/>
                    </w:rPr>
                    <w:t>将军关石河</w:t>
                  </w:r>
                </w:p>
              </w:tc>
              <w:tc>
                <w:tcPr>
                  <w:tcW w:w="176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6"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636" w:type="pct"/>
                  <w:vMerge w:val="restar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思家岭村</w:t>
                  </w:r>
                  <w:r>
                    <w:rPr>
                      <w:rFonts w:hint="default" w:ascii="Times New Roman" w:hAnsi="Times New Roman" w:eastAsia="宋体" w:cs="Times New Roman"/>
                      <w:sz w:val="21"/>
                      <w:szCs w:val="21"/>
                      <w:lang w:val="en-US" w:eastAsia="zh-CN"/>
                    </w:rPr>
                    <w:t>2段工程</w:t>
                  </w:r>
                </w:p>
              </w:tc>
              <w:tc>
                <w:tcPr>
                  <w:tcW w:w="533" w:type="pct"/>
                  <w:vMerge w:val="restar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坐标</w:t>
                  </w:r>
                </w:p>
              </w:tc>
              <w:tc>
                <w:tcPr>
                  <w:tcW w:w="1536" w:type="pct"/>
                  <w:tcBorders>
                    <w:tl2br w:val="nil"/>
                    <w:tr2bl w:val="nil"/>
                  </w:tcBorders>
                  <w:noWrap w:val="0"/>
                  <w:vAlign w:val="center"/>
                </w:tcPr>
                <w:p>
                  <w:pPr>
                    <w:bidi w:val="0"/>
                    <w:spacing w:line="240" w:lineRule="auto"/>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起点：</w:t>
                  </w:r>
                  <w:r>
                    <w:rPr>
                      <w:rFonts w:hint="default" w:ascii="Times New Roman" w:hAnsi="Times New Roman" w:eastAsia="宋体" w:cs="Times New Roman"/>
                      <w:sz w:val="21"/>
                      <w:szCs w:val="21"/>
                    </w:rPr>
                    <w:t>东经117°19′32.05"</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北纬40°20′3.89"</w:t>
                  </w:r>
                </w:p>
              </w:tc>
              <w:tc>
                <w:tcPr>
                  <w:tcW w:w="1763" w:type="pct"/>
                  <w:vMerge w:val="restar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drawing>
                      <wp:anchor distT="0" distB="0" distL="114300" distR="114300" simplePos="0" relativeHeight="251665408" behindDoc="0" locked="0" layoutInCell="1" allowOverlap="1">
                        <wp:simplePos x="0" y="0"/>
                        <wp:positionH relativeFrom="column">
                          <wp:posOffset>4445</wp:posOffset>
                        </wp:positionH>
                        <wp:positionV relativeFrom="paragraph">
                          <wp:posOffset>19050</wp:posOffset>
                        </wp:positionV>
                        <wp:extent cx="1715770" cy="2473325"/>
                        <wp:effectExtent l="0" t="0" r="17780" b="3175"/>
                        <wp:wrapTopAndBottom/>
                        <wp:docPr id="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pic:cNvPicPr>
                                  <a:picLocks noChangeAspect="1"/>
                                </pic:cNvPicPr>
                              </pic:nvPicPr>
                              <pic:blipFill>
                                <a:blip r:embed="rId15"/>
                                <a:stretch>
                                  <a:fillRect/>
                                </a:stretch>
                              </pic:blipFill>
                              <pic:spPr>
                                <a:xfrm>
                                  <a:off x="0" y="0"/>
                                  <a:ext cx="1715770" cy="24733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96"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rPr>
                  </w:pPr>
                </w:p>
              </w:tc>
              <w:tc>
                <w:tcPr>
                  <w:tcW w:w="636"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rPr>
                  </w:pPr>
                </w:p>
              </w:tc>
              <w:tc>
                <w:tcPr>
                  <w:tcW w:w="53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1536" w:type="pct"/>
                  <w:tcBorders>
                    <w:tl2br w:val="nil"/>
                    <w:tr2bl w:val="nil"/>
                  </w:tcBorders>
                  <w:noWrap w:val="0"/>
                  <w:vAlign w:val="center"/>
                </w:tcPr>
                <w:p>
                  <w:pPr>
                    <w:bidi w:val="0"/>
                    <w:spacing w:line="240" w:lineRule="auto"/>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终点：</w:t>
                  </w:r>
                  <w:r>
                    <w:rPr>
                      <w:rFonts w:hint="default" w:ascii="Times New Roman" w:hAnsi="Times New Roman" w:eastAsia="宋体" w:cs="Times New Roman"/>
                      <w:sz w:val="21"/>
                      <w:szCs w:val="21"/>
                    </w:rPr>
                    <w:t>东经117°19′30.74"</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北纬40°19′55.7</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w:t>
                  </w:r>
                </w:p>
              </w:tc>
              <w:tc>
                <w:tcPr>
                  <w:tcW w:w="176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54"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rPr>
                  </w:pPr>
                </w:p>
              </w:tc>
              <w:tc>
                <w:tcPr>
                  <w:tcW w:w="636"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rPr>
                  </w:pPr>
                </w:p>
              </w:tc>
              <w:tc>
                <w:tcPr>
                  <w:tcW w:w="533"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周边</w:t>
                  </w:r>
                </w:p>
                <w:p>
                  <w:pPr>
                    <w:bidi w:val="0"/>
                    <w:spacing w:line="240" w:lineRule="auto"/>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eastAsia="zh-CN"/>
                    </w:rPr>
                    <w:t>关系</w:t>
                  </w:r>
                </w:p>
              </w:tc>
              <w:tc>
                <w:tcPr>
                  <w:tcW w:w="1536"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周边</w:t>
                  </w:r>
                  <w:r>
                    <w:rPr>
                      <w:rFonts w:hint="default" w:ascii="Times New Roman" w:hAnsi="Times New Roman" w:eastAsia="宋体" w:cs="Times New Roman"/>
                      <w:sz w:val="21"/>
                      <w:szCs w:val="21"/>
                    </w:rPr>
                    <w:t>思家岭村</w:t>
                  </w:r>
                  <w:r>
                    <w:rPr>
                      <w:rFonts w:hint="default" w:ascii="Times New Roman" w:hAnsi="Times New Roman" w:eastAsia="宋体" w:cs="Times New Roman"/>
                      <w:sz w:val="21"/>
                      <w:szCs w:val="21"/>
                      <w:lang w:eastAsia="zh-CN"/>
                    </w:rPr>
                    <w:t>居民及</w:t>
                  </w:r>
                  <w:r>
                    <w:rPr>
                      <w:rFonts w:hint="default" w:ascii="Times New Roman" w:hAnsi="Times New Roman" w:eastAsia="宋体" w:cs="Times New Roman"/>
                      <w:sz w:val="21"/>
                      <w:szCs w:val="21"/>
                      <w:lang w:val="en-US" w:eastAsia="zh-CN"/>
                    </w:rPr>
                    <w:t>将军关石河</w:t>
                  </w:r>
                </w:p>
              </w:tc>
              <w:tc>
                <w:tcPr>
                  <w:tcW w:w="176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1"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rPr>
                  </w:pPr>
                </w:p>
              </w:tc>
              <w:tc>
                <w:tcPr>
                  <w:tcW w:w="636"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rPr>
                  </w:pPr>
                </w:p>
              </w:tc>
              <w:tc>
                <w:tcPr>
                  <w:tcW w:w="533"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保护目标</w:t>
                  </w:r>
                </w:p>
              </w:tc>
              <w:tc>
                <w:tcPr>
                  <w:tcW w:w="1536"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周边</w:t>
                  </w:r>
                  <w:r>
                    <w:rPr>
                      <w:rFonts w:hint="default" w:ascii="Times New Roman" w:hAnsi="Times New Roman" w:eastAsia="宋体" w:cs="Times New Roman"/>
                      <w:sz w:val="21"/>
                      <w:szCs w:val="21"/>
                    </w:rPr>
                    <w:t>思家岭村</w:t>
                  </w:r>
                  <w:r>
                    <w:rPr>
                      <w:rFonts w:hint="default" w:ascii="Times New Roman" w:hAnsi="Times New Roman" w:eastAsia="宋体" w:cs="Times New Roman"/>
                      <w:sz w:val="21"/>
                      <w:szCs w:val="21"/>
                      <w:lang w:eastAsia="zh-CN"/>
                    </w:rPr>
                    <w:t>居民及</w:t>
                  </w:r>
                  <w:r>
                    <w:rPr>
                      <w:rFonts w:hint="default" w:ascii="Times New Roman" w:hAnsi="Times New Roman" w:eastAsia="宋体" w:cs="Times New Roman"/>
                      <w:sz w:val="21"/>
                      <w:szCs w:val="21"/>
                      <w:lang w:val="en-US" w:eastAsia="zh-CN"/>
                    </w:rPr>
                    <w:t>将军关石河</w:t>
                  </w:r>
                </w:p>
              </w:tc>
              <w:tc>
                <w:tcPr>
                  <w:tcW w:w="176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rPr>
                  </w:pPr>
                </w:p>
              </w:tc>
              <w:tc>
                <w:tcPr>
                  <w:tcW w:w="636" w:type="pct"/>
                  <w:vMerge w:val="restar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思家岭村</w:t>
                  </w:r>
                  <w:r>
                    <w:rPr>
                      <w:rFonts w:hint="default" w:ascii="Times New Roman" w:hAnsi="Times New Roman" w:eastAsia="宋体" w:cs="Times New Roman"/>
                      <w:sz w:val="21"/>
                      <w:szCs w:val="21"/>
                      <w:lang w:val="en-US" w:eastAsia="zh-CN"/>
                    </w:rPr>
                    <w:t>3段工程</w:t>
                  </w:r>
                </w:p>
              </w:tc>
              <w:tc>
                <w:tcPr>
                  <w:tcW w:w="533" w:type="pct"/>
                  <w:vMerge w:val="restar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坐标</w:t>
                  </w:r>
                </w:p>
              </w:tc>
              <w:tc>
                <w:tcPr>
                  <w:tcW w:w="1536" w:type="pct"/>
                  <w:tcBorders>
                    <w:tl2br w:val="nil"/>
                    <w:tr2bl w:val="nil"/>
                  </w:tcBorders>
                  <w:noWrap w:val="0"/>
                  <w:vAlign w:val="center"/>
                </w:tcPr>
                <w:p>
                  <w:pPr>
                    <w:bidi w:val="0"/>
                    <w:spacing w:line="240" w:lineRule="auto"/>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起点：</w:t>
                  </w:r>
                  <w:r>
                    <w:rPr>
                      <w:rFonts w:hint="default" w:ascii="Times New Roman" w:hAnsi="Times New Roman" w:eastAsia="宋体" w:cs="Times New Roman"/>
                      <w:sz w:val="21"/>
                      <w:szCs w:val="21"/>
                    </w:rPr>
                    <w:t>东经117°19′31.86"，北纬40°19′52.1</w:t>
                  </w:r>
                  <w:r>
                    <w:rPr>
                      <w:rFonts w:hint="default"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rPr>
                    <w:t>"</w:t>
                  </w:r>
                </w:p>
              </w:tc>
              <w:tc>
                <w:tcPr>
                  <w:tcW w:w="1763" w:type="pct"/>
                  <w:vMerge w:val="restar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drawing>
                      <wp:anchor distT="0" distB="0" distL="114300" distR="114300" simplePos="0" relativeHeight="251666432" behindDoc="0" locked="0" layoutInCell="1" allowOverlap="1">
                        <wp:simplePos x="0" y="0"/>
                        <wp:positionH relativeFrom="column">
                          <wp:posOffset>-59055</wp:posOffset>
                        </wp:positionH>
                        <wp:positionV relativeFrom="paragraph">
                          <wp:posOffset>6350</wp:posOffset>
                        </wp:positionV>
                        <wp:extent cx="1713865" cy="2052955"/>
                        <wp:effectExtent l="0" t="0" r="635" b="4445"/>
                        <wp:wrapTopAndBottom/>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pic:cNvPicPr>
                                  <a:picLocks noChangeAspect="1"/>
                                </pic:cNvPicPr>
                              </pic:nvPicPr>
                              <pic:blipFill>
                                <a:blip r:embed="rId16"/>
                                <a:stretch>
                                  <a:fillRect/>
                                </a:stretch>
                              </pic:blipFill>
                              <pic:spPr>
                                <a:xfrm>
                                  <a:off x="0" y="0"/>
                                  <a:ext cx="1713865" cy="20529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rPr>
                  </w:pPr>
                </w:p>
              </w:tc>
              <w:tc>
                <w:tcPr>
                  <w:tcW w:w="636"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rPr>
                  </w:pPr>
                </w:p>
              </w:tc>
              <w:tc>
                <w:tcPr>
                  <w:tcW w:w="53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rPr>
                  </w:pPr>
                </w:p>
              </w:tc>
              <w:tc>
                <w:tcPr>
                  <w:tcW w:w="1536" w:type="pct"/>
                  <w:tcBorders>
                    <w:tl2br w:val="nil"/>
                    <w:tr2bl w:val="nil"/>
                  </w:tcBorders>
                  <w:noWrap w:val="0"/>
                  <w:vAlign w:val="center"/>
                </w:tcPr>
                <w:p>
                  <w:pPr>
                    <w:bidi w:val="0"/>
                    <w:spacing w:line="240" w:lineRule="auto"/>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终点：</w:t>
                  </w:r>
                  <w:r>
                    <w:rPr>
                      <w:rFonts w:hint="default" w:ascii="Times New Roman" w:hAnsi="Times New Roman" w:eastAsia="宋体" w:cs="Times New Roman"/>
                      <w:sz w:val="21"/>
                      <w:szCs w:val="21"/>
                    </w:rPr>
                    <w:t>东经117°19′36.99"</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北纬40°19′34.4</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w:t>
                  </w:r>
                </w:p>
              </w:tc>
              <w:tc>
                <w:tcPr>
                  <w:tcW w:w="176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636"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533"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周边</w:t>
                  </w:r>
                </w:p>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关系</w:t>
                  </w:r>
                </w:p>
              </w:tc>
              <w:tc>
                <w:tcPr>
                  <w:tcW w:w="1536"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周边</w:t>
                  </w:r>
                  <w:r>
                    <w:rPr>
                      <w:rFonts w:hint="default" w:ascii="Times New Roman" w:hAnsi="Times New Roman" w:eastAsia="宋体" w:cs="Times New Roman"/>
                      <w:sz w:val="21"/>
                      <w:szCs w:val="21"/>
                    </w:rPr>
                    <w:t>思家岭村</w:t>
                  </w:r>
                  <w:r>
                    <w:rPr>
                      <w:rFonts w:hint="default" w:ascii="Times New Roman" w:hAnsi="Times New Roman" w:eastAsia="宋体" w:cs="Times New Roman"/>
                      <w:sz w:val="21"/>
                      <w:szCs w:val="21"/>
                      <w:lang w:eastAsia="zh-CN"/>
                    </w:rPr>
                    <w:t>居民及</w:t>
                  </w:r>
                  <w:r>
                    <w:rPr>
                      <w:rFonts w:hint="default" w:ascii="Times New Roman" w:hAnsi="Times New Roman" w:eastAsia="宋体" w:cs="Times New Roman"/>
                      <w:sz w:val="21"/>
                      <w:szCs w:val="21"/>
                      <w:lang w:val="en-US" w:eastAsia="zh-CN"/>
                    </w:rPr>
                    <w:t>将军关石河</w:t>
                  </w:r>
                </w:p>
              </w:tc>
              <w:tc>
                <w:tcPr>
                  <w:tcW w:w="176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70"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636"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533"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保护目标</w:t>
                  </w:r>
                </w:p>
              </w:tc>
              <w:tc>
                <w:tcPr>
                  <w:tcW w:w="1536"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周边</w:t>
                  </w:r>
                  <w:r>
                    <w:rPr>
                      <w:rFonts w:hint="default" w:ascii="Times New Roman" w:hAnsi="Times New Roman" w:eastAsia="宋体" w:cs="Times New Roman"/>
                      <w:sz w:val="21"/>
                      <w:szCs w:val="21"/>
                    </w:rPr>
                    <w:t>思家岭村</w:t>
                  </w:r>
                  <w:r>
                    <w:rPr>
                      <w:rFonts w:hint="default" w:ascii="Times New Roman" w:hAnsi="Times New Roman" w:eastAsia="宋体" w:cs="Times New Roman"/>
                      <w:sz w:val="21"/>
                      <w:szCs w:val="21"/>
                      <w:lang w:eastAsia="zh-CN"/>
                    </w:rPr>
                    <w:t>居民及</w:t>
                  </w:r>
                  <w:r>
                    <w:rPr>
                      <w:rFonts w:hint="default" w:ascii="Times New Roman" w:hAnsi="Times New Roman" w:eastAsia="宋体" w:cs="Times New Roman"/>
                      <w:sz w:val="21"/>
                      <w:szCs w:val="21"/>
                      <w:lang w:val="en-US" w:eastAsia="zh-CN"/>
                    </w:rPr>
                    <w:t>将军关石河</w:t>
                  </w:r>
                </w:p>
              </w:tc>
              <w:tc>
                <w:tcPr>
                  <w:tcW w:w="176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val="en-US" w:eastAsia="zh-CN"/>
                    </w:rPr>
                  </w:pPr>
                </w:p>
              </w:tc>
              <w:tc>
                <w:tcPr>
                  <w:tcW w:w="636" w:type="pct"/>
                  <w:vMerge w:val="restar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沥水沟村</w:t>
                  </w:r>
                  <w:r>
                    <w:rPr>
                      <w:rFonts w:hint="default" w:ascii="Times New Roman" w:hAnsi="Times New Roman" w:eastAsia="宋体" w:cs="Times New Roman"/>
                      <w:sz w:val="21"/>
                      <w:szCs w:val="21"/>
                      <w:lang w:val="en-US" w:eastAsia="zh-CN"/>
                    </w:rPr>
                    <w:t>工程</w:t>
                  </w:r>
                </w:p>
              </w:tc>
              <w:tc>
                <w:tcPr>
                  <w:tcW w:w="533" w:type="pct"/>
                  <w:vMerge w:val="restar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坐标</w:t>
                  </w:r>
                </w:p>
              </w:tc>
              <w:tc>
                <w:tcPr>
                  <w:tcW w:w="1536" w:type="pct"/>
                  <w:tcBorders>
                    <w:tl2br w:val="nil"/>
                    <w:tr2bl w:val="nil"/>
                  </w:tcBorders>
                  <w:noWrap w:val="0"/>
                  <w:vAlign w:val="center"/>
                </w:tcPr>
                <w:p>
                  <w:pPr>
                    <w:bidi w:val="0"/>
                    <w:spacing w:line="240" w:lineRule="auto"/>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起点：</w:t>
                  </w:r>
                  <w:r>
                    <w:rPr>
                      <w:rFonts w:hint="default" w:ascii="Times New Roman" w:hAnsi="Times New Roman" w:eastAsia="宋体" w:cs="Times New Roman"/>
                      <w:sz w:val="21"/>
                      <w:szCs w:val="21"/>
                    </w:rPr>
                    <w:t>东经117°18′57.4</w:t>
                  </w:r>
                  <w:r>
                    <w:rPr>
                      <w:rFonts w:hint="default"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北纬40°17′34.6</w:t>
                  </w:r>
                  <w:r>
                    <w:rPr>
                      <w:rFonts w:hint="default"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rPr>
                    <w:t>"</w:t>
                  </w:r>
                </w:p>
              </w:tc>
              <w:tc>
                <w:tcPr>
                  <w:tcW w:w="1763" w:type="pct"/>
                  <w:vMerge w:val="restar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drawing>
                      <wp:anchor distT="0" distB="0" distL="114300" distR="114300" simplePos="0" relativeHeight="251667456" behindDoc="0" locked="0" layoutInCell="1" allowOverlap="1">
                        <wp:simplePos x="0" y="0"/>
                        <wp:positionH relativeFrom="column">
                          <wp:posOffset>-14605</wp:posOffset>
                        </wp:positionH>
                        <wp:positionV relativeFrom="paragraph">
                          <wp:posOffset>20955</wp:posOffset>
                        </wp:positionV>
                        <wp:extent cx="1660525" cy="2058670"/>
                        <wp:effectExtent l="0" t="0" r="15875" b="17780"/>
                        <wp:wrapTopAndBottom/>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17"/>
                                <a:stretch>
                                  <a:fillRect/>
                                </a:stretch>
                              </pic:blipFill>
                              <pic:spPr>
                                <a:xfrm>
                                  <a:off x="0" y="0"/>
                                  <a:ext cx="1660525" cy="20586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rPr>
                  </w:pPr>
                </w:p>
              </w:tc>
              <w:tc>
                <w:tcPr>
                  <w:tcW w:w="636"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rPr>
                  </w:pPr>
                </w:p>
              </w:tc>
              <w:tc>
                <w:tcPr>
                  <w:tcW w:w="53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rPr>
                  </w:pPr>
                </w:p>
              </w:tc>
              <w:tc>
                <w:tcPr>
                  <w:tcW w:w="1536" w:type="pct"/>
                  <w:tcBorders>
                    <w:tl2br w:val="nil"/>
                    <w:tr2bl w:val="nil"/>
                  </w:tcBorders>
                  <w:noWrap w:val="0"/>
                  <w:vAlign w:val="center"/>
                </w:tcPr>
                <w:p>
                  <w:pPr>
                    <w:bidi w:val="0"/>
                    <w:spacing w:line="240" w:lineRule="auto"/>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终点：</w:t>
                  </w:r>
                  <w:r>
                    <w:rPr>
                      <w:rFonts w:hint="default" w:ascii="Times New Roman" w:hAnsi="Times New Roman" w:eastAsia="宋体" w:cs="Times New Roman"/>
                      <w:sz w:val="21"/>
                      <w:szCs w:val="21"/>
                    </w:rPr>
                    <w:t>东经117°18′47.2</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北纬40°17′12.92"</w:t>
                  </w:r>
                </w:p>
              </w:tc>
              <w:tc>
                <w:tcPr>
                  <w:tcW w:w="176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636"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533"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周边</w:t>
                  </w:r>
                </w:p>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关系</w:t>
                  </w:r>
                </w:p>
              </w:tc>
              <w:tc>
                <w:tcPr>
                  <w:tcW w:w="1536"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周边</w:t>
                  </w:r>
                  <w:r>
                    <w:rPr>
                      <w:rFonts w:hint="default" w:ascii="Times New Roman" w:hAnsi="Times New Roman" w:eastAsia="宋体" w:cs="Times New Roman"/>
                      <w:sz w:val="21"/>
                      <w:szCs w:val="21"/>
                    </w:rPr>
                    <w:t>东陡子峪村</w:t>
                  </w:r>
                  <w:r>
                    <w:rPr>
                      <w:rFonts w:hint="default" w:ascii="Times New Roman" w:hAnsi="Times New Roman" w:eastAsia="宋体" w:cs="Times New Roman"/>
                      <w:sz w:val="21"/>
                      <w:szCs w:val="21"/>
                      <w:lang w:eastAsia="zh-CN"/>
                    </w:rPr>
                    <w:t>居民</w:t>
                  </w:r>
                </w:p>
              </w:tc>
              <w:tc>
                <w:tcPr>
                  <w:tcW w:w="176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636"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533"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保护目标</w:t>
                  </w:r>
                </w:p>
              </w:tc>
              <w:tc>
                <w:tcPr>
                  <w:tcW w:w="1536"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周边</w:t>
                  </w:r>
                  <w:r>
                    <w:rPr>
                      <w:rFonts w:hint="default" w:ascii="Times New Roman" w:hAnsi="Times New Roman" w:eastAsia="宋体" w:cs="Times New Roman"/>
                      <w:sz w:val="21"/>
                      <w:szCs w:val="21"/>
                    </w:rPr>
                    <w:t>东陡子峪村</w:t>
                  </w:r>
                  <w:r>
                    <w:rPr>
                      <w:rFonts w:hint="default" w:ascii="Times New Roman" w:hAnsi="Times New Roman" w:eastAsia="宋体" w:cs="Times New Roman"/>
                      <w:sz w:val="21"/>
                      <w:szCs w:val="21"/>
                      <w:lang w:eastAsia="zh-CN"/>
                    </w:rPr>
                    <w:t>居民及周边</w:t>
                  </w:r>
                  <w:r>
                    <w:rPr>
                      <w:rFonts w:hint="default" w:ascii="Times New Roman" w:hAnsi="Times New Roman" w:eastAsia="宋体" w:cs="Times New Roman"/>
                      <w:sz w:val="21"/>
                      <w:szCs w:val="21"/>
                      <w:lang w:val="en-US" w:eastAsia="zh-CN"/>
                    </w:rPr>
                    <w:t>将军关石河</w:t>
                  </w:r>
                </w:p>
              </w:tc>
              <w:tc>
                <w:tcPr>
                  <w:tcW w:w="176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30" w:type="pct"/>
                  <w:vMerge w:val="restar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污水处理工程</w:t>
                  </w:r>
                </w:p>
              </w:tc>
              <w:tc>
                <w:tcPr>
                  <w:tcW w:w="636" w:type="pct"/>
                  <w:vMerge w:val="restar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沥水沟村管网</w:t>
                  </w:r>
                </w:p>
              </w:tc>
              <w:tc>
                <w:tcPr>
                  <w:tcW w:w="533" w:type="pct"/>
                  <w:vMerge w:val="restar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坐标</w:t>
                  </w:r>
                </w:p>
              </w:tc>
              <w:tc>
                <w:tcPr>
                  <w:tcW w:w="1536" w:type="pct"/>
                  <w:tcBorders>
                    <w:tl2br w:val="nil"/>
                    <w:tr2bl w:val="nil"/>
                  </w:tcBorders>
                  <w:noWrap w:val="0"/>
                  <w:vAlign w:val="center"/>
                </w:tcPr>
                <w:p>
                  <w:pPr>
                    <w:bidi w:val="0"/>
                    <w:spacing w:line="240" w:lineRule="auto"/>
                    <w:jc w:val="left"/>
                    <w:rPr>
                      <w:rFonts w:hint="eastAsia" w:cs="Times New Roman"/>
                      <w:sz w:val="21"/>
                      <w:szCs w:val="21"/>
                      <w:lang w:eastAsia="zh-CN"/>
                    </w:rPr>
                  </w:pPr>
                  <w:r>
                    <w:rPr>
                      <w:rFonts w:hint="default" w:ascii="Times New Roman" w:hAnsi="Times New Roman" w:eastAsia="宋体" w:cs="Times New Roman"/>
                      <w:sz w:val="21"/>
                      <w:szCs w:val="21"/>
                      <w:lang w:eastAsia="zh-CN"/>
                    </w:rPr>
                    <w:t>起点：</w:t>
                  </w:r>
                  <w:r>
                    <w:rPr>
                      <w:rFonts w:hint="default" w:ascii="Times New Roman" w:hAnsi="Times New Roman" w:eastAsia="宋体" w:cs="Times New Roman"/>
                      <w:sz w:val="21"/>
                      <w:szCs w:val="21"/>
                    </w:rPr>
                    <w:t>东经117°18′42.31"</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北纬40°17′13.0</w:t>
                  </w:r>
                  <w:r>
                    <w:rPr>
                      <w:rFonts w:hint="eastAsia" w:cs="Times New Roman"/>
                      <w:sz w:val="21"/>
                      <w:szCs w:val="21"/>
                      <w:lang w:val="en-US" w:eastAsia="zh-CN"/>
                    </w:rPr>
                    <w:t>8</w:t>
                  </w:r>
                  <w:r>
                    <w:rPr>
                      <w:rFonts w:hint="default" w:ascii="Times New Roman" w:hAnsi="Times New Roman" w:eastAsia="宋体" w:cs="Times New Roman"/>
                      <w:sz w:val="21"/>
                      <w:szCs w:val="21"/>
                    </w:rPr>
                    <w:t>"</w:t>
                  </w:r>
                  <w:r>
                    <w:rPr>
                      <w:rFonts w:hint="eastAsia" w:cs="Times New Roman"/>
                      <w:sz w:val="21"/>
                      <w:szCs w:val="21"/>
                      <w:lang w:eastAsia="zh-CN"/>
                    </w:rPr>
                    <w:t>；</w:t>
                  </w:r>
                </w:p>
                <w:p>
                  <w:pPr>
                    <w:bidi w:val="0"/>
                    <w:spacing w:line="240" w:lineRule="auto"/>
                    <w:jc w:val="left"/>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东经</w:t>
                  </w:r>
                  <w:r>
                    <w:rPr>
                      <w:rFonts w:hint="eastAsia" w:cs="Times New Roman"/>
                      <w:sz w:val="21"/>
                      <w:szCs w:val="21"/>
                      <w:lang w:eastAsia="zh-CN"/>
                    </w:rPr>
                    <w:t>117</w:t>
                  </w:r>
                  <w:r>
                    <w:rPr>
                      <w:rFonts w:hint="default" w:ascii="Times New Roman" w:hAnsi="Times New Roman" w:eastAsia="宋体" w:cs="Times New Roman"/>
                      <w:sz w:val="21"/>
                      <w:szCs w:val="21"/>
                    </w:rPr>
                    <w:t>°</w:t>
                  </w:r>
                  <w:r>
                    <w:rPr>
                      <w:rFonts w:hint="eastAsia" w:cs="Times New Roman"/>
                      <w:sz w:val="21"/>
                      <w:szCs w:val="21"/>
                      <w:lang w:eastAsia="zh-CN"/>
                    </w:rPr>
                    <w:t>18</w:t>
                  </w:r>
                  <w:r>
                    <w:rPr>
                      <w:rFonts w:hint="default" w:ascii="Times New Roman" w:hAnsi="Times New Roman" w:eastAsia="宋体" w:cs="Times New Roman"/>
                      <w:sz w:val="21"/>
                      <w:szCs w:val="21"/>
                    </w:rPr>
                    <w:t>′</w:t>
                  </w:r>
                  <w:r>
                    <w:rPr>
                      <w:rFonts w:hint="eastAsia" w:cs="Times New Roman"/>
                      <w:sz w:val="21"/>
                      <w:szCs w:val="21"/>
                      <w:lang w:eastAsia="zh-CN"/>
                    </w:rPr>
                    <w:t>35.26</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北纬40°17′6.5</w:t>
                  </w:r>
                  <w:r>
                    <w:rPr>
                      <w:rFonts w:hint="eastAsia" w:cs="Times New Roman"/>
                      <w:sz w:val="21"/>
                      <w:szCs w:val="21"/>
                      <w:lang w:val="en-US" w:eastAsia="zh-CN"/>
                    </w:rPr>
                    <w:t>5</w:t>
                  </w:r>
                  <w:r>
                    <w:rPr>
                      <w:rFonts w:hint="default" w:ascii="Times New Roman" w:hAnsi="Times New Roman" w:eastAsia="宋体" w:cs="Times New Roman"/>
                      <w:sz w:val="21"/>
                      <w:szCs w:val="21"/>
                    </w:rPr>
                    <w:t>"</w:t>
                  </w:r>
                </w:p>
              </w:tc>
              <w:tc>
                <w:tcPr>
                  <w:tcW w:w="1763" w:type="pct"/>
                  <w:vMerge w:val="restar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drawing>
                      <wp:anchor distT="0" distB="0" distL="114300" distR="114300" simplePos="0" relativeHeight="251668480" behindDoc="0" locked="0" layoutInCell="1" allowOverlap="1">
                        <wp:simplePos x="0" y="0"/>
                        <wp:positionH relativeFrom="column">
                          <wp:posOffset>-24130</wp:posOffset>
                        </wp:positionH>
                        <wp:positionV relativeFrom="paragraph">
                          <wp:posOffset>20955</wp:posOffset>
                        </wp:positionV>
                        <wp:extent cx="1675130" cy="1249680"/>
                        <wp:effectExtent l="0" t="0" r="1270" b="7620"/>
                        <wp:wrapTopAndBottom/>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8"/>
                                <a:stretch>
                                  <a:fillRect/>
                                </a:stretch>
                              </pic:blipFill>
                              <pic:spPr>
                                <a:xfrm>
                                  <a:off x="0" y="0"/>
                                  <a:ext cx="1675130" cy="12496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rPr>
                  </w:pPr>
                </w:p>
              </w:tc>
              <w:tc>
                <w:tcPr>
                  <w:tcW w:w="636"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53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1536" w:type="pct"/>
                  <w:tcBorders>
                    <w:tl2br w:val="nil"/>
                    <w:tr2bl w:val="nil"/>
                  </w:tcBorders>
                  <w:noWrap w:val="0"/>
                  <w:vAlign w:val="center"/>
                </w:tcPr>
                <w:p>
                  <w:pPr>
                    <w:bidi w:val="0"/>
                    <w:spacing w:line="240" w:lineRule="auto"/>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终点：</w:t>
                  </w:r>
                  <w:r>
                    <w:rPr>
                      <w:rFonts w:hint="default" w:ascii="Times New Roman" w:hAnsi="Times New Roman" w:eastAsia="宋体" w:cs="Times New Roman"/>
                      <w:sz w:val="21"/>
                      <w:szCs w:val="21"/>
                    </w:rPr>
                    <w:t>东经117°18′46.36"</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北纬40°17′5.5</w:t>
                  </w:r>
                  <w:r>
                    <w:rPr>
                      <w:rFonts w:hint="eastAsia" w:cs="Times New Roman"/>
                      <w:sz w:val="21"/>
                      <w:szCs w:val="21"/>
                      <w:lang w:val="en-US" w:eastAsia="zh-CN"/>
                    </w:rPr>
                    <w:t>8</w:t>
                  </w:r>
                  <w:r>
                    <w:rPr>
                      <w:rFonts w:hint="default" w:ascii="Times New Roman" w:hAnsi="Times New Roman" w:eastAsia="宋体" w:cs="Times New Roman"/>
                      <w:sz w:val="21"/>
                      <w:szCs w:val="21"/>
                    </w:rPr>
                    <w:t>"</w:t>
                  </w:r>
                </w:p>
              </w:tc>
              <w:tc>
                <w:tcPr>
                  <w:tcW w:w="176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636"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533"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周边</w:t>
                  </w:r>
                </w:p>
                <w:p>
                  <w:pPr>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关系</w:t>
                  </w:r>
                </w:p>
              </w:tc>
              <w:tc>
                <w:tcPr>
                  <w:tcW w:w="1536"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东侧为</w:t>
                  </w:r>
                  <w:r>
                    <w:rPr>
                      <w:rFonts w:hint="default" w:ascii="Times New Roman" w:hAnsi="Times New Roman" w:eastAsia="宋体" w:cs="Times New Roman"/>
                      <w:sz w:val="21"/>
                      <w:szCs w:val="21"/>
                      <w:lang w:val="en-US" w:eastAsia="zh-CN"/>
                    </w:rPr>
                    <w:t>平兴路线，周边</w:t>
                  </w:r>
                  <w:r>
                    <w:rPr>
                      <w:rFonts w:hint="default" w:ascii="Times New Roman" w:hAnsi="Times New Roman" w:eastAsia="宋体" w:cs="Times New Roman"/>
                      <w:sz w:val="21"/>
                      <w:szCs w:val="21"/>
                      <w:lang w:eastAsia="zh-CN"/>
                    </w:rPr>
                    <w:t>沥水沟村</w:t>
                  </w:r>
                </w:p>
              </w:tc>
              <w:tc>
                <w:tcPr>
                  <w:tcW w:w="176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636"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533"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保护目标</w:t>
                  </w:r>
                </w:p>
              </w:tc>
              <w:tc>
                <w:tcPr>
                  <w:tcW w:w="1536"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周边</w:t>
                  </w:r>
                  <w:r>
                    <w:rPr>
                      <w:rFonts w:hint="default" w:ascii="Times New Roman" w:hAnsi="Times New Roman" w:eastAsia="宋体" w:cs="Times New Roman"/>
                      <w:sz w:val="21"/>
                      <w:szCs w:val="21"/>
                      <w:lang w:eastAsia="zh-CN"/>
                    </w:rPr>
                    <w:t>沥水沟村</w:t>
                  </w:r>
                  <w:r>
                    <w:rPr>
                      <w:rFonts w:hint="default" w:ascii="Times New Roman" w:hAnsi="Times New Roman" w:eastAsia="宋体" w:cs="Times New Roman"/>
                      <w:sz w:val="21"/>
                      <w:szCs w:val="21"/>
                      <w:lang w:val="en-US" w:eastAsia="zh-CN"/>
                    </w:rPr>
                    <w:t>居民及将军关石河</w:t>
                  </w:r>
                </w:p>
              </w:tc>
              <w:tc>
                <w:tcPr>
                  <w:tcW w:w="176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636" w:type="pct"/>
                  <w:vMerge w:val="restar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沥水沟村污水处理站</w:t>
                  </w:r>
                </w:p>
              </w:tc>
              <w:tc>
                <w:tcPr>
                  <w:tcW w:w="533"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坐标</w:t>
                  </w:r>
                </w:p>
              </w:tc>
              <w:tc>
                <w:tcPr>
                  <w:tcW w:w="1536" w:type="pct"/>
                  <w:tcBorders>
                    <w:tl2br w:val="nil"/>
                    <w:tr2bl w:val="nil"/>
                  </w:tcBorders>
                  <w:noWrap w:val="0"/>
                  <w:vAlign w:val="center"/>
                </w:tcPr>
                <w:p>
                  <w:pPr>
                    <w:bidi w:val="0"/>
                    <w:spacing w:line="240" w:lineRule="auto"/>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东经117°18′45.8</w:t>
                  </w:r>
                  <w:r>
                    <w:rPr>
                      <w:rFonts w:hint="eastAsia" w:cs="Times New Roman"/>
                      <w:sz w:val="21"/>
                      <w:szCs w:val="21"/>
                      <w:lang w:val="en-US" w:eastAsia="zh-CN"/>
                    </w:rPr>
                    <w:t>6</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北纬40°17′4.69"</w:t>
                  </w:r>
                </w:p>
              </w:tc>
              <w:tc>
                <w:tcPr>
                  <w:tcW w:w="1763" w:type="pct"/>
                  <w:vMerge w:val="restar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drawing>
                      <wp:anchor distT="0" distB="0" distL="114300" distR="114300" simplePos="0" relativeHeight="251669504" behindDoc="0" locked="0" layoutInCell="1" allowOverlap="1">
                        <wp:simplePos x="0" y="0"/>
                        <wp:positionH relativeFrom="column">
                          <wp:posOffset>-33655</wp:posOffset>
                        </wp:positionH>
                        <wp:positionV relativeFrom="paragraph">
                          <wp:posOffset>34925</wp:posOffset>
                        </wp:positionV>
                        <wp:extent cx="1665605" cy="1196340"/>
                        <wp:effectExtent l="0" t="0" r="10795" b="3810"/>
                        <wp:wrapTopAndBottom/>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9"/>
                                <a:stretch>
                                  <a:fillRect/>
                                </a:stretch>
                              </pic:blipFill>
                              <pic:spPr>
                                <a:xfrm>
                                  <a:off x="0" y="0"/>
                                  <a:ext cx="1665605" cy="11963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636"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533"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周边</w:t>
                  </w:r>
                </w:p>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关系</w:t>
                  </w:r>
                </w:p>
              </w:tc>
              <w:tc>
                <w:tcPr>
                  <w:tcW w:w="1536"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周边</w:t>
                  </w:r>
                  <w:r>
                    <w:rPr>
                      <w:rFonts w:hint="default" w:ascii="Times New Roman" w:hAnsi="Times New Roman" w:eastAsia="宋体" w:cs="Times New Roman"/>
                      <w:sz w:val="21"/>
                      <w:szCs w:val="21"/>
                      <w:lang w:eastAsia="zh-CN"/>
                    </w:rPr>
                    <w:t>沥水沟村</w:t>
                  </w:r>
                  <w:r>
                    <w:rPr>
                      <w:rFonts w:hint="default" w:ascii="Times New Roman" w:hAnsi="Times New Roman" w:eastAsia="宋体" w:cs="Times New Roman"/>
                      <w:sz w:val="21"/>
                      <w:szCs w:val="21"/>
                      <w:lang w:val="en-US" w:eastAsia="zh-CN"/>
                    </w:rPr>
                    <w:t>居民及将军关石河</w:t>
                  </w:r>
                </w:p>
              </w:tc>
              <w:tc>
                <w:tcPr>
                  <w:tcW w:w="176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30"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636"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c>
                <w:tcPr>
                  <w:tcW w:w="533"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保护目标</w:t>
                  </w:r>
                </w:p>
              </w:tc>
              <w:tc>
                <w:tcPr>
                  <w:tcW w:w="1536" w:type="pct"/>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周边</w:t>
                  </w:r>
                  <w:r>
                    <w:rPr>
                      <w:rFonts w:hint="default" w:ascii="Times New Roman" w:hAnsi="Times New Roman" w:eastAsia="宋体" w:cs="Times New Roman"/>
                      <w:sz w:val="21"/>
                      <w:szCs w:val="21"/>
                      <w:lang w:eastAsia="zh-CN"/>
                    </w:rPr>
                    <w:t>沥水沟村</w:t>
                  </w:r>
                  <w:r>
                    <w:rPr>
                      <w:rFonts w:hint="default" w:ascii="Times New Roman" w:hAnsi="Times New Roman" w:eastAsia="宋体" w:cs="Times New Roman"/>
                      <w:sz w:val="21"/>
                      <w:szCs w:val="21"/>
                      <w:lang w:val="en-US" w:eastAsia="zh-CN"/>
                    </w:rPr>
                    <w:t>居民及将军关石河</w:t>
                  </w:r>
                </w:p>
              </w:tc>
              <w:tc>
                <w:tcPr>
                  <w:tcW w:w="1763"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sz w:val="21"/>
                      <w:szCs w:val="21"/>
                      <w:lang w:eastAsia="zh-CN"/>
                    </w:rPr>
                  </w:pPr>
                </w:p>
              </w:tc>
            </w:tr>
          </w:tbl>
          <w:p>
            <w:pPr>
              <w:keepNext w:val="0"/>
              <w:keepLines w:val="0"/>
              <w:pageBreakBefore w:val="0"/>
              <w:widowControl w:val="0"/>
              <w:kinsoku/>
              <w:wordWrap/>
              <w:overflowPunct/>
              <w:topLinePunct w:val="0"/>
              <w:autoSpaceDE w:val="0"/>
              <w:autoSpaceDN w:val="0"/>
              <w:bidi w:val="0"/>
              <w:adjustRightInd/>
              <w:snapToGrid/>
              <w:spacing w:line="500" w:lineRule="exact"/>
              <w:jc w:val="both"/>
              <w:textAlignment w:val="auto"/>
              <w:rPr>
                <w:rFonts w:hint="default"/>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72" w:hRule="atLeast"/>
        </w:trPr>
        <w:tc>
          <w:tcPr>
            <w:tcW w:w="718" w:type="dxa"/>
            <w:tcBorders>
              <w:top w:val="single" w:color="000000" w:sz="4" w:space="0"/>
              <w:bottom w:val="single" w:color="000000" w:sz="4" w:space="0"/>
              <w:right w:val="single" w:color="000000" w:sz="4" w:space="0"/>
            </w:tcBorders>
            <w:vAlign w:val="center"/>
          </w:tcPr>
          <w:p>
            <w:pPr>
              <w:bidi w:val="0"/>
              <w:jc w:val="center"/>
              <w:rPr>
                <w:sz w:val="24"/>
                <w:szCs w:val="24"/>
              </w:rPr>
            </w:pPr>
            <w:r>
              <w:rPr>
                <w:sz w:val="24"/>
                <w:szCs w:val="24"/>
              </w:rPr>
              <w:t>工艺流程和产排污环节</w:t>
            </w:r>
          </w:p>
        </w:tc>
        <w:tc>
          <w:tcPr>
            <w:tcW w:w="8266" w:type="dxa"/>
            <w:tcBorders>
              <w:top w:val="single" w:color="000000" w:sz="4" w:space="0"/>
              <w:left w:val="single" w:color="000000" w:sz="4" w:space="0"/>
              <w:bottom w:val="single" w:color="000000" w:sz="4" w:space="0"/>
            </w:tcBorders>
            <w:vAlign w:val="center"/>
          </w:tcPr>
          <w:p>
            <w:pPr>
              <w:pStyle w:val="13"/>
              <w:spacing w:before="0" w:after="0" w:line="360" w:lineRule="auto"/>
              <w:ind w:firstLine="0" w:firstLineChars="0"/>
              <w:jc w:val="both"/>
              <w:rPr>
                <w:sz w:val="28"/>
                <w:szCs w:val="28"/>
              </w:rPr>
            </w:pPr>
            <w:r>
              <w:rPr>
                <w:rFonts w:hint="eastAsia"/>
                <w:sz w:val="28"/>
                <w:szCs w:val="28"/>
              </w:rPr>
              <w:t>建设项目工艺流程</w:t>
            </w:r>
            <w:r>
              <w:rPr>
                <w:sz w:val="28"/>
                <w:szCs w:val="28"/>
              </w:rPr>
              <w:t>简述：</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hint="default"/>
                <w:b/>
                <w:bCs/>
              </w:rPr>
            </w:pPr>
            <w:r>
              <w:rPr>
                <w:rFonts w:hint="eastAsia"/>
                <w:b/>
                <w:bCs/>
                <w:lang w:val="en-US" w:eastAsia="zh-CN"/>
              </w:rPr>
              <w:t xml:space="preserve"> </w:t>
            </w:r>
            <w:r>
              <w:rPr>
                <w:rFonts w:hint="default"/>
                <w:b/>
                <w:bCs/>
              </w:rPr>
              <w:t>⑴施工期</w:t>
            </w:r>
          </w:p>
          <w:p>
            <w:pPr>
              <w:pStyle w:val="20"/>
              <w:keepNext w:val="0"/>
              <w:keepLines w:val="0"/>
              <w:pageBreakBefore w:val="0"/>
              <w:widowControl w:val="0"/>
              <w:kinsoku/>
              <w:wordWrap/>
              <w:overflowPunct/>
              <w:topLinePunct w:val="0"/>
              <w:bidi w:val="0"/>
              <w:snapToGrid/>
              <w:spacing w:line="500" w:lineRule="exact"/>
              <w:ind w:firstLine="480" w:firstLineChars="200"/>
              <w:textAlignment w:val="auto"/>
              <w:rPr>
                <w:rFonts w:hint="eastAsia" w:eastAsia="宋体"/>
                <w:b/>
                <w:bCs/>
                <w:color w:val="auto"/>
                <w:lang w:val="en-US" w:eastAsia="zh-CN"/>
              </w:rPr>
            </w:pPr>
            <w:r>
              <w:rPr>
                <w:rFonts w:hint="eastAsia"/>
                <w:color w:val="auto"/>
                <w:lang w:eastAsia="zh-CN"/>
              </w:rPr>
              <w:pict>
                <v:shape id="_x0000_s1037" o:spid="_x0000_s1037" o:spt="75" type="#_x0000_t75" style="position:absolute;left:0pt;margin-left:43.3pt;margin-top:41.75pt;height:87.55pt;width:339.15pt;mso-wrap-distance-bottom:0pt;mso-wrap-distance-top:0pt;z-index:251672576;mso-width-relative:page;mso-height-relative:page;" o:ole="t" filled="f" o:preferrelative="t" stroked="f" coordsize="21600,21600">
                  <v:path/>
                  <v:fill on="f" focussize="0,0"/>
                  <v:stroke on="f"/>
                  <v:imagedata r:id="rId21" croptop="8383f" o:title=""/>
                  <o:lock v:ext="edit" aspectratio="t"/>
                  <w10:wrap type="topAndBottom"/>
                </v:shape>
                <o:OLEObject Type="Embed" ProgID="Visio.Drawing.11" ShapeID="_x0000_s1037" DrawAspect="Content" ObjectID="_1468075725" r:id="rId20">
                  <o:LockedField>false</o:LockedField>
                </o:OLEObject>
              </w:pict>
            </w:r>
            <w:r>
              <w:rPr>
                <w:rFonts w:hint="eastAsia"/>
                <w:b/>
                <w:bCs/>
                <w:color w:val="auto"/>
                <w:lang w:val="en-US" w:eastAsia="zh-CN"/>
              </w:rPr>
              <w:t>清淤工程：</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color w:val="auto"/>
                <w:lang w:val="en-US" w:eastAsia="zh-CN"/>
              </w:rPr>
            </w:pPr>
            <w:r>
              <w:rPr>
                <w:rFonts w:hint="eastAsia"/>
                <w:color w:val="auto"/>
                <w:lang w:val="en-US" w:eastAsia="zh-CN"/>
              </w:rPr>
              <w:t>本项目</w:t>
            </w:r>
            <w:r>
              <w:rPr>
                <w:color w:val="auto"/>
              </w:rPr>
              <w:t>疏挖顺序按照顺河流方向，自上而下</w:t>
            </w:r>
            <w:r>
              <w:rPr>
                <w:rFonts w:hint="eastAsia"/>
                <w:color w:val="auto"/>
                <w:lang w:val="en-US" w:eastAsia="zh-CN"/>
              </w:rPr>
              <w:t>采取</w:t>
            </w:r>
            <w:r>
              <w:rPr>
                <w:color w:val="auto"/>
              </w:rPr>
              <w:t>分段作业</w:t>
            </w:r>
            <w:r>
              <w:rPr>
                <w:rFonts w:hint="eastAsia"/>
                <w:color w:val="auto"/>
                <w:lang w:eastAsia="zh-CN"/>
              </w:rPr>
              <w:t>，</w:t>
            </w:r>
            <w:r>
              <w:rPr>
                <w:rFonts w:hint="eastAsia"/>
                <w:color w:val="auto"/>
                <w:lang w:val="en-US" w:eastAsia="zh-CN"/>
              </w:rPr>
              <w:t>施工流程简述如下：</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color w:val="auto"/>
              </w:rPr>
            </w:pPr>
            <w:r>
              <w:rPr>
                <w:rFonts w:hint="eastAsia"/>
                <w:color w:val="auto"/>
                <w:lang w:val="en-US" w:eastAsia="zh-CN"/>
              </w:rPr>
              <w:t>①</w:t>
            </w:r>
            <w:r>
              <w:rPr>
                <w:rFonts w:hint="eastAsia"/>
                <w:color w:val="auto"/>
                <w:spacing w:val="-12"/>
                <w:lang w:eastAsia="zh-CN"/>
              </w:rPr>
              <w:t>断流</w:t>
            </w:r>
            <w:r>
              <w:rPr>
                <w:color w:val="auto"/>
                <w:spacing w:val="-12"/>
              </w:rPr>
              <w:t>、导流</w:t>
            </w:r>
            <w:r>
              <w:rPr>
                <w:rFonts w:hint="eastAsia"/>
                <w:color w:val="auto"/>
                <w:spacing w:val="-12"/>
                <w:lang w:eastAsia="zh-CN"/>
              </w:rPr>
              <w:t>：</w:t>
            </w:r>
            <w:r>
              <w:rPr>
                <w:color w:val="auto"/>
              </w:rPr>
              <w:t>在工段起始位置</w:t>
            </w:r>
            <w:r>
              <w:rPr>
                <w:rFonts w:hint="eastAsia"/>
                <w:color w:val="auto"/>
                <w:lang w:eastAsia="zh-CN"/>
              </w:rPr>
              <w:t>进行断流</w:t>
            </w:r>
            <w:r>
              <w:rPr>
                <w:color w:val="auto"/>
              </w:rPr>
              <w:t>，沿河</w:t>
            </w:r>
            <w:r>
              <w:rPr>
                <w:rFonts w:hint="eastAsia"/>
                <w:color w:val="auto"/>
                <w:lang w:eastAsia="zh-CN"/>
              </w:rPr>
              <w:t>道</w:t>
            </w:r>
            <w:r>
              <w:rPr>
                <w:color w:val="auto"/>
              </w:rPr>
              <w:t>左侧岸坡脚布置导流</w:t>
            </w:r>
            <w:r>
              <w:rPr>
                <w:rFonts w:hint="eastAsia"/>
                <w:color w:val="auto"/>
                <w:lang w:eastAsia="zh-CN"/>
              </w:rPr>
              <w:t>渠</w:t>
            </w:r>
            <w:r>
              <w:rPr>
                <w:color w:val="auto"/>
              </w:rPr>
              <w:t>，导流</w:t>
            </w:r>
            <w:r>
              <w:rPr>
                <w:rFonts w:hint="eastAsia"/>
                <w:color w:val="auto"/>
                <w:lang w:eastAsia="zh-CN"/>
              </w:rPr>
              <w:t>渠</w:t>
            </w:r>
            <w:r>
              <w:rPr>
                <w:color w:val="auto"/>
              </w:rPr>
              <w:t>开挖均采用加长臂挖掘机施工；</w:t>
            </w:r>
            <w:r>
              <w:rPr>
                <w:rFonts w:hint="eastAsia"/>
                <w:color w:val="auto"/>
                <w:lang w:val="en-US" w:eastAsia="zh-CN"/>
              </w:rPr>
              <w:t>积水由导流渠排入下段河道</w:t>
            </w:r>
            <w:r>
              <w:rPr>
                <w:rFonts w:hint="eastAsia"/>
                <w:color w:val="auto"/>
                <w:lang w:eastAsia="zh-CN"/>
              </w:rPr>
              <w:t>，</w:t>
            </w:r>
            <w:r>
              <w:rPr>
                <w:rFonts w:hint="eastAsia"/>
                <w:color w:val="auto"/>
                <w:lang w:val="en-US" w:eastAsia="zh-CN"/>
              </w:rPr>
              <w:t>排干水</w:t>
            </w:r>
            <w:r>
              <w:rPr>
                <w:color w:val="auto"/>
              </w:rPr>
              <w:t>后干场作业。</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color w:val="auto"/>
              </w:rPr>
            </w:pPr>
            <w:r>
              <w:rPr>
                <w:rFonts w:hint="eastAsia"/>
                <w:color w:val="auto"/>
                <w:lang w:val="en-US" w:eastAsia="zh-CN"/>
              </w:rPr>
              <w:t>②疏挖、清淤：</w:t>
            </w:r>
            <w:r>
              <w:rPr>
                <w:color w:val="auto"/>
              </w:rPr>
              <w:t>本工程在交通便利、操作空间大的区域采用挖掘机清淤方式进行河道清淤；在交通不便利，周边操作空间受限制区域采用人工清淤方式进行河道清淤。</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color w:val="auto"/>
                <w:lang w:val="en-US" w:eastAsia="zh-CN"/>
              </w:rPr>
            </w:pPr>
            <w:r>
              <w:rPr>
                <w:rFonts w:hint="eastAsia"/>
                <w:color w:val="auto"/>
                <w:lang w:val="en-US" w:eastAsia="zh-CN"/>
              </w:rPr>
              <w:t>③外运：河道淤泥由挖掘机装载至运输车辆后外运</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jc w:val="left"/>
              <w:textAlignment w:val="auto"/>
              <w:rPr>
                <w:rFonts w:hint="eastAsia"/>
                <w:b/>
                <w:bCs/>
                <w:color w:val="auto"/>
                <w:lang w:eastAsia="zh-CN"/>
              </w:rPr>
            </w:pPr>
            <w:r>
              <w:rPr>
                <w:rFonts w:hint="eastAsia"/>
                <w:b/>
                <w:bCs/>
                <w:color w:val="auto"/>
                <w:lang w:eastAsia="zh-CN"/>
              </w:rPr>
              <w:t>坝体建设工程：</w:t>
            </w:r>
          </w:p>
          <w:p>
            <w:pPr>
              <w:pStyle w:val="20"/>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color w:val="auto"/>
                <w:lang w:val="en-US" w:eastAsia="zh-CN"/>
              </w:rPr>
            </w:pPr>
            <w:r>
              <w:rPr>
                <w:rFonts w:hint="eastAsia"/>
                <w:color w:val="auto"/>
                <w:lang w:val="en-US" w:eastAsia="zh-CN"/>
              </w:rPr>
              <w:pict>
                <v:shape id="_x0000_s1038" o:spid="_x0000_s1038" o:spt="75" type="#_x0000_t75" style="position:absolute;left:0pt;margin-left:51.1pt;margin-top:75pt;height:113.55pt;width:329.2pt;mso-wrap-distance-bottom:0pt;mso-wrap-distance-top:0pt;z-index:251674624;mso-width-relative:page;mso-height-relative:page;" o:ole="t" filled="f" o:preferrelative="t" stroked="f" coordsize="21600,21600">
                  <v:path/>
                  <v:fill on="f" focussize="0,0"/>
                  <v:stroke on="f"/>
                  <v:imagedata r:id="rId23" cropbottom="6239f" o:title=""/>
                  <o:lock v:ext="edit" aspectratio="t"/>
                  <w10:wrap type="topAndBottom"/>
                </v:shape>
                <o:OLEObject Type="Embed" ProgID="Visio.Drawing.11" ShapeID="_x0000_s1038" DrawAspect="Content" ObjectID="_1468075726" r:id="rId22">
                  <o:LockedField>false</o:LockedField>
                </o:OLEObject>
              </w:pict>
            </w:r>
            <w:r>
              <w:rPr>
                <w:rFonts w:hint="eastAsia"/>
                <w:color w:val="auto"/>
                <w:lang w:eastAsia="zh-CN"/>
              </w:rPr>
              <w:t>坝体</w:t>
            </w:r>
            <w:r>
              <w:rPr>
                <w:color w:val="auto"/>
              </w:rPr>
              <w:t>建设主要为</w:t>
            </w:r>
            <w:r>
              <w:rPr>
                <w:rFonts w:hint="eastAsia"/>
                <w:color w:val="auto"/>
                <w:lang w:eastAsia="zh-CN"/>
              </w:rPr>
              <w:t>漫水坝、沿河护坝</w:t>
            </w:r>
            <w:r>
              <w:rPr>
                <w:color w:val="auto"/>
              </w:rPr>
              <w:t>工程</w:t>
            </w:r>
            <w:r>
              <w:rPr>
                <w:rFonts w:hint="eastAsia"/>
                <w:color w:val="auto"/>
                <w:lang w:eastAsia="zh-CN"/>
              </w:rPr>
              <w:t>，</w:t>
            </w:r>
            <w:r>
              <w:rPr>
                <w:color w:val="auto"/>
              </w:rPr>
              <w:t>浆砌石挡墙采用常规浆砌石浇筑方法</w:t>
            </w:r>
            <w:r>
              <w:rPr>
                <w:rFonts w:hint="eastAsia"/>
                <w:color w:val="auto"/>
                <w:lang w:eastAsia="zh-CN"/>
              </w:rPr>
              <w:t>和铅丝石笼护坝方法</w:t>
            </w:r>
            <w:r>
              <w:rPr>
                <w:color w:val="auto"/>
              </w:rPr>
              <w:t>进行施工</w:t>
            </w:r>
            <w:r>
              <w:rPr>
                <w:rFonts w:hint="eastAsia"/>
                <w:color w:val="auto"/>
                <w:lang w:eastAsia="zh-CN"/>
              </w:rPr>
              <w:t>，漫水坝采用</w:t>
            </w:r>
            <w:r>
              <w:rPr>
                <w:color w:val="auto"/>
              </w:rPr>
              <w:t>常规浆砌石浇筑方法</w:t>
            </w:r>
            <w:r>
              <w:rPr>
                <w:rFonts w:hint="eastAsia"/>
                <w:color w:val="auto"/>
                <w:lang w:eastAsia="zh-CN"/>
              </w:rPr>
              <w:t>和宾格石笼方法进行施工，透水坝采用宾格石笼进行施工</w:t>
            </w:r>
            <w:r>
              <w:rPr>
                <w:color w:val="auto"/>
              </w:rPr>
              <w:t>。</w:t>
            </w:r>
            <w:r>
              <w:rPr>
                <w:rFonts w:hint="eastAsia"/>
                <w:color w:val="auto"/>
                <w:lang w:eastAsia="zh-CN"/>
              </w:rPr>
              <w:t>本次工程</w:t>
            </w:r>
            <w:r>
              <w:rPr>
                <w:rFonts w:hint="eastAsia"/>
                <w:color w:val="auto"/>
                <w:lang w:val="en-US" w:eastAsia="zh-CN"/>
              </w:rPr>
              <w:t>施工流程简述如下：</w:t>
            </w:r>
          </w:p>
          <w:p>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color w:val="auto"/>
                <w:lang w:eastAsia="zh-CN"/>
              </w:rPr>
            </w:pPr>
            <w:r>
              <w:rPr>
                <w:color w:val="auto"/>
              </w:rPr>
              <w:t>常规浆砌石浇筑方法</w:t>
            </w:r>
            <w:r>
              <w:rPr>
                <w:rFonts w:hint="eastAsia"/>
                <w:color w:val="auto"/>
                <w:lang w:eastAsia="zh-CN"/>
              </w:rPr>
              <w:t>：将砌筑前基底清理干净，人工采用砌石和混凝土分层砌筑，砌筑完成后，对坝体进行洒水养护；</w:t>
            </w:r>
          </w:p>
          <w:p>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宋体" w:hAnsi="宋体" w:eastAsia="宋体" w:cs="宋体"/>
                <w:color w:val="auto"/>
              </w:rPr>
            </w:pPr>
            <w:r>
              <w:rPr>
                <w:rFonts w:hint="eastAsia"/>
                <w:color w:val="auto"/>
                <w:lang w:eastAsia="zh-CN"/>
              </w:rPr>
              <w:pict>
                <v:shape id="_x0000_s1039" o:spid="_x0000_s1039" o:spt="75" type="#_x0000_t75" style="position:absolute;left:0pt;margin-left:10.3pt;margin-top:6.5pt;height:91.7pt;width:428.25pt;mso-wrap-distance-bottom:0pt;mso-wrap-distance-top:0pt;z-index:251673600;mso-width-relative:page;mso-height-relative:page;" o:ole="t" filled="f" o:preferrelative="t" stroked="f" coordsize="21600,21600">
                  <v:path/>
                  <v:fill on="f" focussize="0,0"/>
                  <v:stroke on="f"/>
                  <v:imagedata r:id="rId25" cropbottom="6733f" o:title=""/>
                  <o:lock v:ext="edit" aspectratio="t"/>
                  <w10:wrap type="topAndBottom"/>
                </v:shape>
                <o:OLEObject Type="Embed" ProgID="Visio.Drawing.11" ShapeID="_x0000_s1039" DrawAspect="Content" ObjectID="_1468075727" r:id="rId24">
                  <o:LockedField>false</o:LockedField>
                </o:OLEObject>
              </w:pict>
            </w:r>
            <w:r>
              <w:rPr>
                <w:rFonts w:hint="eastAsia"/>
                <w:color w:val="auto"/>
                <w:lang w:eastAsia="zh-CN"/>
              </w:rPr>
              <w:t>石笼护坝方法：</w:t>
            </w:r>
            <w:r>
              <w:rPr>
                <w:rFonts w:hint="eastAsia" w:ascii="宋体" w:hAnsi="宋体" w:eastAsia="宋体" w:cs="宋体"/>
                <w:color w:val="auto"/>
              </w:rPr>
              <w:t>①铺设网箱前，由人工对已完成的</w:t>
            </w:r>
            <w:r>
              <w:rPr>
                <w:rFonts w:hint="eastAsia" w:ascii="宋体" w:hAnsi="宋体" w:cs="宋体"/>
                <w:color w:val="auto"/>
                <w:lang w:eastAsia="zh-CN"/>
              </w:rPr>
              <w:t>河道</w:t>
            </w:r>
            <w:r>
              <w:rPr>
                <w:rFonts w:hint="eastAsia" w:ascii="宋体" w:hAnsi="宋体" w:eastAsia="宋体" w:cs="宋体"/>
                <w:color w:val="auto"/>
              </w:rPr>
              <w:t>进行清理、平整，清除大块颗粒和杂质。</w:t>
            </w:r>
          </w:p>
          <w:p>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宋体" w:hAnsi="宋体" w:eastAsia="宋体" w:cs="宋体"/>
                <w:color w:val="auto"/>
              </w:rPr>
            </w:pPr>
            <w:r>
              <w:rPr>
                <w:rFonts w:hint="eastAsia" w:ascii="宋体" w:hAnsi="宋体" w:eastAsia="宋体" w:cs="宋体"/>
                <w:color w:val="auto"/>
              </w:rPr>
              <w:t>②铺设网箱时，应自下而上进行，底边要与护坡基础严密靠拢，网片连接要缝制式连接，上下网片要有连接线进行固定。</w:t>
            </w:r>
          </w:p>
          <w:p>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宋体" w:hAnsi="宋体" w:eastAsia="宋体" w:cs="宋体"/>
                <w:color w:val="auto"/>
              </w:rPr>
            </w:pPr>
            <w:r>
              <w:rPr>
                <w:rFonts w:hint="eastAsia" w:ascii="宋体" w:hAnsi="宋体" w:eastAsia="宋体" w:cs="宋体"/>
                <w:color w:val="auto"/>
              </w:rPr>
              <w:t>③块石的选择要符合设计尺寸要求，与设计不符的石料不得用于施工。</w:t>
            </w:r>
          </w:p>
          <w:p>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宋体" w:hAnsi="宋体" w:eastAsia="宋体" w:cs="宋体"/>
                <w:color w:val="auto"/>
              </w:rPr>
            </w:pPr>
            <w:r>
              <w:rPr>
                <w:rFonts w:hint="eastAsia" w:ascii="宋体" w:hAnsi="宋体" w:eastAsia="宋体" w:cs="宋体"/>
                <w:color w:val="auto"/>
              </w:rPr>
              <w:t>④石头的摆放要牢固、上面要平，填缝的小石块要大于网眼，否则不能使用</w:t>
            </w:r>
            <w:r>
              <w:rPr>
                <w:rFonts w:hint="eastAsia" w:ascii="宋体" w:hAnsi="宋体" w:cs="宋体"/>
                <w:color w:val="auto"/>
                <w:lang w:val="en-US" w:eastAsia="zh-CN"/>
              </w:rPr>
              <w:t>于</w:t>
            </w:r>
            <w:r>
              <w:rPr>
                <w:rFonts w:hint="eastAsia" w:ascii="宋体" w:hAnsi="宋体" w:eastAsia="宋体" w:cs="宋体"/>
                <w:color w:val="auto"/>
              </w:rPr>
              <w:t>表面。</w:t>
            </w:r>
          </w:p>
          <w:p>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b/>
                <w:bCs/>
                <w:color w:val="auto"/>
                <w:lang w:val="en-US" w:eastAsia="zh-CN"/>
              </w:rPr>
            </w:pPr>
            <w:r>
              <w:rPr>
                <w:rFonts w:hint="eastAsia" w:ascii="宋体" w:hAnsi="宋体" w:eastAsia="宋体" w:cs="宋体"/>
                <w:color w:val="auto"/>
              </w:rPr>
              <w:t>⑤完成装石后要进行检测，合格后进行封盖。</w:t>
            </w:r>
          </w:p>
          <w:p>
            <w:pPr>
              <w:pStyle w:val="10"/>
              <w:keepNext w:val="0"/>
              <w:keepLines w:val="0"/>
              <w:pageBreakBefore w:val="0"/>
              <w:widowControl w:val="0"/>
              <w:kinsoku/>
              <w:wordWrap/>
              <w:overflowPunct/>
              <w:topLinePunct w:val="0"/>
              <w:autoSpaceDE/>
              <w:autoSpaceDN/>
              <w:bidi w:val="0"/>
              <w:adjustRightInd/>
              <w:snapToGrid/>
              <w:spacing w:line="500" w:lineRule="exact"/>
              <w:ind w:left="0" w:leftChars="0" w:firstLine="482" w:firstLineChars="200"/>
              <w:jc w:val="left"/>
              <w:textAlignment w:val="auto"/>
              <w:rPr>
                <w:rFonts w:hint="eastAsia"/>
                <w:color w:val="auto"/>
                <w:lang w:eastAsia="zh-CN"/>
              </w:rPr>
            </w:pPr>
            <w:r>
              <w:rPr>
                <w:rFonts w:hint="eastAsia"/>
                <w:b/>
                <w:bCs/>
                <w:color w:val="auto"/>
                <w:lang w:eastAsia="zh-CN"/>
              </w:rPr>
              <w:t>绿化工程</w:t>
            </w:r>
            <w:r>
              <w:rPr>
                <w:rFonts w:hint="eastAsia"/>
                <w:color w:val="auto"/>
                <w:lang w:eastAsia="zh-CN"/>
              </w:rPr>
              <w:t>：</w:t>
            </w:r>
          </w:p>
          <w:p>
            <w:pPr>
              <w:pStyle w:val="2"/>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color w:val="auto"/>
                <w:lang w:eastAsia="zh-CN"/>
              </w:rPr>
              <w:pict>
                <v:shape id="_x0000_s1040" o:spid="_x0000_s1040" o:spt="75" type="#_x0000_t75" style="position:absolute;left:0pt;margin-left:63.6pt;margin-top:3.3pt;height:92.85pt;width:332.25pt;mso-wrap-distance-bottom:0pt;mso-wrap-distance-top:0pt;z-index:251675648;mso-width-relative:page;mso-height-relative:page;" o:ole="t" filled="f" o:preferrelative="t" stroked="f" coordsize="21600,21600">
                  <v:path/>
                  <v:fill on="f" focussize="0,0"/>
                  <v:stroke on="f"/>
                  <v:imagedata r:id="rId27" cropbottom="6228f" o:title=""/>
                  <o:lock v:ext="edit" aspectratio="t"/>
                  <w10:wrap type="topAndBottom"/>
                </v:shape>
                <o:OLEObject Type="Embed" ProgID="Visio.Drawing.11" ShapeID="_x0000_s1040" DrawAspect="Content" ObjectID="_1468075728" r:id="rId26">
                  <o:LockedField>false</o:LockedField>
                </o:OLEObject>
              </w:pict>
            </w:r>
            <w:r>
              <w:rPr>
                <w:rFonts w:hint="default" w:ascii="Times New Roman" w:hAnsi="Times New Roman" w:eastAsia="宋体" w:cs="Times New Roman"/>
                <w:color w:val="auto"/>
                <w:lang w:eastAsia="zh-CN"/>
              </w:rPr>
              <w:t>将绿化地面平整、清理干净，在平整土地上挖掘种植穴，种植穴挖掘完成后种植苗木，种植完成后浇水。</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jc w:val="left"/>
              <w:textAlignment w:val="auto"/>
              <w:rPr>
                <w:rFonts w:hint="eastAsia"/>
                <w:lang w:val="en-US" w:eastAsia="zh-CN"/>
              </w:rPr>
            </w:pPr>
            <w:r>
              <w:rPr>
                <w:rFonts w:hint="eastAsia"/>
                <w:b/>
                <w:bCs/>
                <w:lang w:val="en-US" w:eastAsia="zh-CN"/>
              </w:rPr>
              <w:t>污水管网工程</w:t>
            </w:r>
            <w:r>
              <w:rPr>
                <w:rFonts w:hint="eastAsia"/>
                <w:lang w:eastAsia="zh-CN"/>
              </w:rPr>
              <w:pict>
                <v:shape id="_x0000_s1035" o:spid="_x0000_s1035" o:spt="75" type="#_x0000_t75" style="position:absolute;left:0pt;margin-left:4.3pt;margin-top:21.15pt;height:82.5pt;width:436.65pt;z-index:-251645952;mso-width-relative:page;mso-height-relative:page;" o:ole="t" filled="f" o:preferrelative="t" stroked="f" coordsize="21600,21600">
                  <v:path/>
                  <v:fill on="f" focussize="0,0"/>
                  <v:stroke on="f"/>
                  <v:imagedata r:id="rId29" o:title=""/>
                  <o:lock v:ext="edit" aspectratio="f"/>
                </v:shape>
                <o:OLEObject Type="Embed" ProgID="Visio.Drawing.11" ShapeID="_x0000_s1035" DrawAspect="Content" ObjectID="_1468075729" r:id="rId28">
                  <o:LockedField>false</o:LockedField>
                </o:OLEObject>
              </w:pict>
            </w:r>
          </w:p>
          <w:p>
            <w:pPr>
              <w:pStyle w:val="21"/>
              <w:rPr>
                <w:rFonts w:hint="eastAsia"/>
                <w:lang w:val="en-US" w:eastAsia="zh-CN"/>
              </w:rPr>
            </w:pPr>
          </w:p>
          <w:p>
            <w:pPr>
              <w:pStyle w:val="21"/>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504" w:firstLineChars="200"/>
              <w:jc w:val="both"/>
              <w:textAlignment w:val="auto"/>
              <w:rPr>
                <w:rFonts w:hint="eastAsia"/>
                <w:lang w:val="en-US" w:eastAsia="zh-CN"/>
              </w:rPr>
            </w:pPr>
          </w:p>
          <w:p>
            <w:pPr>
              <w:pStyle w:val="21"/>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504" w:firstLineChars="200"/>
              <w:jc w:val="both"/>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lang w:val="en-US" w:eastAsia="zh-CN"/>
              </w:rPr>
            </w:pPr>
            <w:r>
              <w:rPr>
                <w:rFonts w:hint="eastAsia"/>
                <w:lang w:val="en-US" w:eastAsia="zh-CN"/>
              </w:rPr>
              <w:t>①测量放线</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lang w:val="en-US" w:eastAsia="zh-CN"/>
              </w:rPr>
            </w:pPr>
            <w:r>
              <w:rPr>
                <w:rFonts w:hint="eastAsia"/>
                <w:lang w:val="en-US" w:eastAsia="zh-CN"/>
              </w:rPr>
              <w:t>按照设计图纸，首先在施工现场定出埋管沟槽位置，同时设置高程参考桩。桩位选址适当，施工过程中高程桩不致被挖去或被泥土、器材等掩盖。</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rPr>
            </w:pPr>
            <w:r>
              <w:rPr>
                <w:rFonts w:hint="eastAsia"/>
                <w:lang w:val="en-US" w:eastAsia="zh-CN"/>
              </w:rPr>
              <w:t>②管渠</w:t>
            </w:r>
            <w:r>
              <w:rPr>
                <w:rFonts w:hint="default"/>
                <w:lang w:val="en-US" w:eastAsia="zh-CN"/>
              </w:rPr>
              <w:t xml:space="preserve">开挖：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rPr>
            </w:pPr>
            <w:r>
              <w:rPr>
                <w:rFonts w:hint="eastAsia"/>
                <w:lang w:val="en-US" w:eastAsia="zh-CN"/>
              </w:rPr>
              <w:t>采用挖掘机开挖，</w:t>
            </w:r>
            <w:r>
              <w:rPr>
                <w:rFonts w:hint="default"/>
                <w:lang w:val="en-US" w:eastAsia="zh-CN"/>
              </w:rPr>
              <w:t>当沟槽开挖深度较大时，合理确定分层开挖的深度。沟槽的开挖深度超过3m时应分层开挖。每层的深度不宜超过2m。人工开挖多层沟槽的层间留台宽度：放坡时不应小于0.8m，直槽不宜小于0.5m，安装井点设备时不应小于1.5m。沟槽开挖宜分段快速施工，敞口时间不宜过长，管道安装完毕及时验收合格后，应立即回填沟槽。</w:t>
            </w:r>
            <w:r>
              <w:rPr>
                <w:rFonts w:hint="eastAsia"/>
                <w:lang w:val="en-US" w:eastAsia="zh-CN"/>
              </w:rPr>
              <w:t>开挖土石方暂存于沟槽一侧。</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rPr>
            </w:pPr>
            <w:r>
              <w:rPr>
                <w:rFonts w:hint="eastAsia"/>
                <w:lang w:val="en-US" w:eastAsia="zh-CN"/>
              </w:rPr>
              <w:t>③敷设</w:t>
            </w:r>
            <w:r>
              <w:rPr>
                <w:rFonts w:hint="default"/>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lang w:val="en-US" w:eastAsia="zh-CN"/>
              </w:rPr>
            </w:pPr>
            <w:r>
              <w:rPr>
                <w:rFonts w:hint="eastAsia"/>
                <w:lang w:val="en-US" w:eastAsia="zh-CN"/>
              </w:rPr>
              <w:t>管道按时、按需运至施工现场，满足工程安装进度需要。均在专业生产厂家购买，并拥有合格证，检查无缺陷损坏。管道安装分机械作业和人工作业，根据现场实际情况选择，下沟前应先将基础、管外壁与抹带相接处砼表面凿毛、刷净，下沟由人工校正就位。管道正确就位后，进行管道间连接，管道连接采用橡胶圈承插连接。</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lang w:val="en-US" w:eastAsia="zh-CN"/>
              </w:rPr>
            </w:pPr>
            <w:r>
              <w:rPr>
                <w:rFonts w:hint="eastAsia"/>
                <w:lang w:val="en-US" w:eastAsia="zh-CN"/>
              </w:rPr>
              <w:t>④闭水试验</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lang w:val="en-US" w:eastAsia="zh-CN"/>
              </w:rPr>
            </w:pPr>
            <w:r>
              <w:rPr>
                <w:rFonts w:hint="eastAsia"/>
                <w:lang w:val="en-US" w:eastAsia="zh-CN"/>
              </w:rPr>
              <w:t>覆土前先进行管道闭水实验，以两检查井为一试验段，用预制块封闭管口或采用砌砖封闭管口，闭水24小时，检查渗漏情况，如不合格，应分析原因，采取针对性措施，改装后，再次实验，直到合格。</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lang w:val="en-US" w:eastAsia="zh-CN"/>
              </w:rPr>
            </w:pPr>
            <w:r>
              <w:rPr>
                <w:rFonts w:hint="eastAsia"/>
                <w:lang w:val="en-US" w:eastAsia="zh-CN"/>
              </w:rPr>
              <w:t>⑤管沟回填</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lang w:val="en-US" w:eastAsia="zh-CN"/>
              </w:rPr>
            </w:pPr>
            <w:r>
              <w:rPr>
                <w:rFonts w:hint="eastAsia"/>
                <w:lang w:val="en-US" w:eastAsia="zh-CN"/>
              </w:rPr>
              <w:t>管沟回填前应将管基、地下设施及管道敷设安装施工完毕，经闭水试验合格，并作隐蔽工程记录。回填前，清除管沟内的垃圾、积水以及各种杂物。填料必须符合设计要求。从管道两侧同时回填，确保管道均匀受力不产生位移。回填土石方至管顶以上50cm，分层夯实不超过</w:t>
            </w:r>
            <w:r>
              <w:rPr>
                <w:rFonts w:hint="default"/>
                <w:lang w:val="en-US" w:eastAsia="zh-CN"/>
              </w:rPr>
              <w:t>20cm</w:t>
            </w:r>
            <w:r>
              <w:rPr>
                <w:rFonts w:hint="eastAsia"/>
                <w:lang w:val="en-US" w:eastAsia="zh-CN"/>
              </w:rPr>
              <w:t>；管顶以上</w:t>
            </w:r>
            <w:r>
              <w:rPr>
                <w:rFonts w:hint="default"/>
                <w:lang w:val="en-US" w:eastAsia="zh-CN"/>
              </w:rPr>
              <w:t>50cm</w:t>
            </w:r>
            <w:r>
              <w:rPr>
                <w:rFonts w:hint="eastAsia"/>
                <w:lang w:val="en-US" w:eastAsia="zh-CN"/>
              </w:rPr>
              <w:t>至设计标高原土回填，分层碾压不超过</w:t>
            </w:r>
            <w:r>
              <w:rPr>
                <w:rFonts w:hint="default"/>
                <w:lang w:val="en-US" w:eastAsia="zh-CN"/>
              </w:rPr>
              <w:t>20cm</w:t>
            </w:r>
            <w:r>
              <w:rPr>
                <w:rFonts w:hint="eastAsia"/>
                <w:lang w:val="en-US" w:eastAsia="zh-CN"/>
              </w:rPr>
              <w:t>。从管底基础至管顶以上</w:t>
            </w:r>
            <w:r>
              <w:rPr>
                <w:rFonts w:hint="default"/>
                <w:lang w:val="en-US" w:eastAsia="zh-CN"/>
              </w:rPr>
              <w:t>0.5m</w:t>
            </w:r>
            <w:r>
              <w:rPr>
                <w:rFonts w:hint="eastAsia"/>
                <w:lang w:val="en-US" w:eastAsia="zh-CN"/>
              </w:rPr>
              <w:t>范围内，必须采用人工回填， 严禁用机器回填。管顶</w:t>
            </w:r>
            <w:r>
              <w:rPr>
                <w:rFonts w:hint="default"/>
                <w:lang w:val="en-US" w:eastAsia="zh-CN"/>
              </w:rPr>
              <w:t>0.5m</w:t>
            </w:r>
            <w:r>
              <w:rPr>
                <w:rFonts w:hint="eastAsia"/>
                <w:lang w:val="en-US" w:eastAsia="zh-CN"/>
              </w:rPr>
              <w:t xml:space="preserve">以上范围内可采用机械从管道轴线两侧同时回填、夯实、碾压。回填完毕后，将剩余的土石方和建筑垃圾进行外运。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lang w:val="en-US" w:eastAsia="zh-CN"/>
              </w:rPr>
            </w:pPr>
            <w:r>
              <w:rPr>
                <w:rFonts w:hint="eastAsia"/>
                <w:lang w:val="en-US" w:eastAsia="zh-CN"/>
              </w:rPr>
              <w:t>⑥恢复</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outlineLvl w:val="0"/>
              <w:rPr>
                <w:rFonts w:hint="eastAsia"/>
                <w:lang w:val="en-US" w:eastAsia="zh-CN"/>
              </w:rPr>
            </w:pPr>
            <w:r>
              <w:rPr>
                <w:rFonts w:hint="eastAsia"/>
                <w:lang w:val="en-US" w:eastAsia="zh-CN"/>
              </w:rPr>
              <w:t>管道施工完成后对开挖的沟槽进行恢复。沟槽均原土回填，部分车型道路面恢复为原路面情况。</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82" w:firstLineChars="200"/>
              <w:jc w:val="left"/>
              <w:textAlignment w:val="auto"/>
              <w:rPr>
                <w:rFonts w:hint="eastAsia"/>
                <w:b/>
                <w:bCs/>
                <w:lang w:val="en-US" w:eastAsia="zh-CN"/>
              </w:rPr>
            </w:pPr>
            <w:r>
              <w:rPr>
                <w:rFonts w:hint="eastAsia"/>
                <w:b/>
                <w:bCs/>
                <w:lang w:val="en-US" w:eastAsia="zh-CN"/>
              </w:rPr>
              <w:t>污水处理站工程</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jc w:val="left"/>
              <w:textAlignment w:val="auto"/>
              <w:rPr>
                <w:rFonts w:hint="eastAsia"/>
                <w:lang w:val="en-US" w:eastAsia="zh-CN"/>
              </w:rPr>
            </w:pPr>
            <w:r>
              <w:rPr>
                <w:rFonts w:hint="eastAsia"/>
                <w:lang w:eastAsia="zh-CN"/>
              </w:rPr>
              <w:pict>
                <v:shape id="_x0000_s1036" o:spid="_x0000_s1036" o:spt="75" type="#_x0000_t75" style="position:absolute;left:0pt;margin-left:5.7pt;margin-top:6.85pt;height:72.4pt;width:420.6pt;z-index:251671552;mso-width-relative:page;mso-height-relative:page;" o:ole="t" filled="f" o:preferrelative="t" stroked="f" coordsize="21600,21600">
                  <v:path/>
                  <v:fill on="f" focussize="0,0"/>
                  <v:stroke on="f"/>
                  <v:imagedata r:id="rId31" o:title=""/>
                  <o:lock v:ext="edit" aspectratio="f"/>
                </v:shape>
                <o:OLEObject Type="Embed" ProgID="Visio.Drawing.11" ShapeID="_x0000_s1036" DrawAspect="Content" ObjectID="_1468075730" r:id="rId30">
                  <o:LockedField>false</o:LockedField>
                </o:OLEObject>
              </w:pict>
            </w:r>
          </w:p>
          <w:p>
            <w:pPr>
              <w:pStyle w:val="21"/>
              <w:rPr>
                <w:rFonts w:hint="eastAsia"/>
                <w:lang w:val="en-US" w:eastAsia="zh-CN"/>
              </w:rPr>
            </w:pPr>
          </w:p>
          <w:p>
            <w:pPr>
              <w:pStyle w:val="21"/>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lang w:val="en-US" w:eastAsia="zh-CN"/>
              </w:rPr>
            </w:pPr>
            <w:r>
              <w:rPr>
                <w:rFonts w:hint="eastAsia"/>
                <w:lang w:val="en-US" w:eastAsia="zh-CN"/>
              </w:rPr>
              <w:t>①场地平整：主要为清除表面浮土、开挖和标高回填。</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lang w:val="en-US" w:eastAsia="zh-CN"/>
              </w:rPr>
            </w:pPr>
            <w:r>
              <w:rPr>
                <w:rFonts w:hint="eastAsia"/>
                <w:lang w:val="en-US" w:eastAsia="zh-CN"/>
              </w:rPr>
              <w:t>②基坑开挖：池体基础采用钢筋混凝土垫层。</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lang w:val="en-US" w:eastAsia="zh-CN"/>
              </w:rPr>
            </w:pPr>
            <w:r>
              <w:rPr>
                <w:rFonts w:hint="eastAsia"/>
                <w:lang w:val="en-US" w:eastAsia="zh-CN"/>
              </w:rPr>
              <w:t>③池体施工：池体建设、一体化设备焊接、吊装、防腐涂装、附着设施安装。</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lang w:val="en-US" w:eastAsia="zh-CN"/>
              </w:rPr>
            </w:pPr>
            <w:r>
              <w:rPr>
                <w:rFonts w:hint="eastAsia"/>
                <w:lang w:val="en-US" w:eastAsia="zh-CN"/>
              </w:rPr>
              <w:t>④结构施工：工艺管道等配套工程的施工、电气、仪表安装。</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lang w:val="en-US" w:eastAsia="zh-CN"/>
              </w:rPr>
            </w:pPr>
            <w:r>
              <w:rPr>
                <w:rFonts w:hint="eastAsia"/>
                <w:lang w:val="en-US" w:eastAsia="zh-CN"/>
              </w:rPr>
              <w:t>⑤回填：对污水处理站进行回填、夯实、碾压，回填完毕后，将剩余的土石方和建筑垃圾进行外运。</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lang w:val="en-US" w:eastAsia="zh-CN"/>
              </w:rPr>
            </w:pPr>
            <w:r>
              <w:rPr>
                <w:rFonts w:hint="eastAsia"/>
                <w:lang w:val="en-US" w:eastAsia="zh-CN"/>
              </w:rPr>
              <w:t>⑥调试：联合试运行。</w:t>
            </w:r>
          </w:p>
          <w:p>
            <w:pPr>
              <w:keepNext w:val="0"/>
              <w:keepLines w:val="0"/>
              <w:pageBreakBefore w:val="0"/>
              <w:widowControl w:val="0"/>
              <w:kinsoku/>
              <w:wordWrap/>
              <w:overflowPunct/>
              <w:topLinePunct w:val="0"/>
              <w:autoSpaceDE w:val="0"/>
              <w:autoSpaceDN w:val="0"/>
              <w:bidi w:val="0"/>
              <w:adjustRightInd/>
              <w:snapToGrid/>
              <w:spacing w:after="0" w:line="500" w:lineRule="exact"/>
              <w:ind w:left="0" w:leftChars="0" w:right="0" w:firstLine="482" w:firstLineChars="200"/>
              <w:jc w:val="left"/>
              <w:textAlignment w:val="auto"/>
              <w:rPr>
                <w:rFonts w:hint="eastAsia"/>
                <w:b/>
                <w:bCs/>
                <w:lang w:eastAsia="zh-CN"/>
              </w:rPr>
            </w:pPr>
            <w:r>
              <w:rPr>
                <w:rFonts w:hint="default"/>
                <w:b/>
                <w:bCs/>
              </w:rPr>
              <w:t>⑵</w:t>
            </w:r>
            <w:r>
              <w:rPr>
                <w:rFonts w:hint="eastAsia"/>
                <w:b/>
                <w:bCs/>
                <w:lang w:eastAsia="zh-CN"/>
              </w:rPr>
              <w:t>运营期</w:t>
            </w:r>
          </w:p>
          <w:p>
            <w:pPr>
              <w:keepNext w:val="0"/>
              <w:keepLines w:val="0"/>
              <w:pageBreakBefore w:val="0"/>
              <w:widowControl w:val="0"/>
              <w:kinsoku/>
              <w:wordWrap/>
              <w:overflowPunct/>
              <w:topLinePunct w:val="0"/>
              <w:autoSpaceDE/>
              <w:autoSpaceDN/>
              <w:bidi w:val="0"/>
              <w:adjustRightInd/>
              <w:snapToGrid/>
              <w:spacing w:after="0" w:line="500" w:lineRule="exact"/>
              <w:ind w:left="0" w:leftChars="0" w:right="0" w:firstLine="480" w:firstLineChars="200"/>
              <w:jc w:val="left"/>
              <w:textAlignment w:val="auto"/>
              <w:outlineLvl w:val="0"/>
            </w:pPr>
            <w:r>
              <w:rPr>
                <w:rFonts w:hint="eastAsia"/>
                <w:lang w:val="en-US" w:eastAsia="zh-CN"/>
              </w:rPr>
              <w:t>污水处理站处理工艺流程简述</w:t>
            </w:r>
            <w:r>
              <w:rPr>
                <w:rFonts w:hint="eastAsia"/>
              </w:rPr>
              <w:t>：</w:t>
            </w:r>
          </w:p>
          <w:p>
            <w:pPr>
              <w:keepNext w:val="0"/>
              <w:keepLines w:val="0"/>
              <w:pageBreakBefore w:val="0"/>
              <w:widowControl w:val="0"/>
              <w:kinsoku/>
              <w:wordWrap/>
              <w:overflowPunct/>
              <w:topLinePunct w:val="0"/>
              <w:autoSpaceDE/>
              <w:autoSpaceDN/>
              <w:bidi w:val="0"/>
              <w:adjustRightInd/>
              <w:snapToGrid/>
              <w:spacing w:after="0" w:line="500" w:lineRule="exact"/>
              <w:ind w:left="0" w:leftChars="0" w:right="0" w:firstLine="480" w:firstLineChars="200"/>
              <w:jc w:val="left"/>
              <w:textAlignment w:val="auto"/>
            </w:pPr>
            <w:r>
              <w:rPr>
                <w:rFonts w:hint="eastAsia"/>
              </w:rPr>
              <w:t>项目污水处理工艺为：“</w:t>
            </w:r>
            <w:r>
              <w:t>A</w:t>
            </w:r>
            <w:r>
              <w:rPr>
                <w:rFonts w:hint="eastAsia"/>
                <w:vertAlign w:val="superscript"/>
                <w:lang w:val="en-US" w:eastAsia="zh-CN"/>
              </w:rPr>
              <w:t>2</w:t>
            </w:r>
            <w:r>
              <w:t>/O</w:t>
            </w:r>
            <w:r>
              <w:rPr>
                <w:rFonts w:hint="eastAsia"/>
              </w:rPr>
              <w:t>+</w:t>
            </w:r>
            <w:r>
              <w:t xml:space="preserve"> MBR</w:t>
            </w:r>
            <w:r>
              <w:rPr>
                <w:rFonts w:hint="eastAsia"/>
              </w:rPr>
              <w:t>”，具体</w:t>
            </w:r>
            <w:r>
              <w:t>叙述如下：</w:t>
            </w:r>
          </w:p>
          <w:p>
            <w:pPr>
              <w:pStyle w:val="3"/>
              <w:keepNext w:val="0"/>
              <w:keepLines w:val="0"/>
              <w:pageBreakBefore w:val="0"/>
              <w:widowControl w:val="0"/>
              <w:kinsoku/>
              <w:wordWrap/>
              <w:overflowPunct/>
              <w:topLinePunct w:val="0"/>
              <w:bidi w:val="0"/>
              <w:adjustRightInd/>
              <w:snapToGrid/>
              <w:spacing w:after="0" w:afterLines="0" w:line="500" w:lineRule="exact"/>
              <w:ind w:left="0" w:leftChars="0" w:right="0" w:firstLine="480" w:firstLineChars="200"/>
              <w:jc w:val="both"/>
              <w:textAlignment w:val="auto"/>
              <w:rPr>
                <w:rFonts w:hint="eastAsia"/>
                <w:b w:val="0"/>
                <w:bCs w:val="0"/>
                <w:sz w:val="24"/>
                <w:szCs w:val="24"/>
                <w:lang w:eastAsia="zh-CN"/>
              </w:rPr>
            </w:pPr>
            <w:r>
              <w:rPr>
                <w:rFonts w:hint="eastAsia"/>
                <w:b w:val="0"/>
                <w:bCs w:val="0"/>
                <w:sz w:val="24"/>
                <w:szCs w:val="24"/>
                <w:lang w:eastAsia="zh-CN"/>
              </w:rPr>
              <w:t>①化粪池</w:t>
            </w:r>
          </w:p>
          <w:p>
            <w:pPr>
              <w:pStyle w:val="11"/>
              <w:keepNext w:val="0"/>
              <w:keepLines w:val="0"/>
              <w:pageBreakBefore w:val="0"/>
              <w:widowControl w:val="0"/>
              <w:kinsoku/>
              <w:wordWrap/>
              <w:overflowPunct/>
              <w:topLinePunct w:val="0"/>
              <w:bidi w:val="0"/>
              <w:adjustRightInd/>
              <w:snapToGrid/>
              <w:spacing w:after="0" w:line="500" w:lineRule="exact"/>
              <w:ind w:left="0" w:leftChars="0" w:right="0" w:firstLine="480" w:firstLineChars="200"/>
              <w:textAlignment w:val="auto"/>
              <w:rPr>
                <w:rFonts w:hint="eastAsia"/>
                <w:lang w:eastAsia="zh-CN"/>
              </w:rPr>
            </w:pPr>
            <w:r>
              <w:rPr>
                <w:rFonts w:hint="eastAsia"/>
                <w:b w:val="0"/>
                <w:bCs w:val="0"/>
                <w:sz w:val="24"/>
                <w:szCs w:val="24"/>
                <w:lang w:eastAsia="zh-CN"/>
              </w:rPr>
              <w:t>污水经管道收集后进入化粪池进行分格沉淀和厌氧反应。</w:t>
            </w:r>
          </w:p>
          <w:p>
            <w:pPr>
              <w:keepNext w:val="0"/>
              <w:keepLines w:val="0"/>
              <w:pageBreakBefore w:val="0"/>
              <w:widowControl w:val="0"/>
              <w:kinsoku/>
              <w:wordWrap/>
              <w:overflowPunct/>
              <w:topLinePunct w:val="0"/>
              <w:autoSpaceDE/>
              <w:autoSpaceDN/>
              <w:bidi w:val="0"/>
              <w:adjustRightInd/>
              <w:snapToGrid/>
              <w:spacing w:after="0" w:line="500" w:lineRule="exact"/>
              <w:ind w:left="0" w:leftChars="0" w:right="0" w:firstLine="480" w:firstLineChars="200"/>
              <w:jc w:val="left"/>
              <w:textAlignment w:val="auto"/>
            </w:pPr>
            <w:r>
              <w:rPr>
                <w:rFonts w:hint="eastAsia"/>
              </w:rPr>
              <w:t>②</w:t>
            </w:r>
            <w:r>
              <w:t>格栅</w:t>
            </w:r>
          </w:p>
          <w:p>
            <w:pPr>
              <w:keepNext w:val="0"/>
              <w:keepLines w:val="0"/>
              <w:pageBreakBefore w:val="0"/>
              <w:widowControl w:val="0"/>
              <w:kinsoku/>
              <w:wordWrap/>
              <w:overflowPunct/>
              <w:topLinePunct w:val="0"/>
              <w:autoSpaceDE/>
              <w:autoSpaceDN/>
              <w:bidi w:val="0"/>
              <w:adjustRightInd/>
              <w:snapToGrid/>
              <w:spacing w:after="0" w:line="500" w:lineRule="exact"/>
              <w:ind w:left="0" w:leftChars="0" w:right="0" w:firstLine="480" w:firstLineChars="200"/>
              <w:jc w:val="left"/>
              <w:textAlignment w:val="auto"/>
            </w:pPr>
            <w:r>
              <w:t>污水经格栅截留较大的悬浮物、漂浮物、固体颗粒物后自流进入下一阶段，避免堵塞后续管道及设备，保证后续处理工序正常有效的运行。</w:t>
            </w:r>
          </w:p>
          <w:p>
            <w:pPr>
              <w:keepNext w:val="0"/>
              <w:keepLines w:val="0"/>
              <w:pageBreakBefore w:val="0"/>
              <w:widowControl w:val="0"/>
              <w:kinsoku/>
              <w:wordWrap/>
              <w:overflowPunct/>
              <w:topLinePunct w:val="0"/>
              <w:autoSpaceDE/>
              <w:autoSpaceDN/>
              <w:bidi w:val="0"/>
              <w:adjustRightInd/>
              <w:snapToGrid/>
              <w:spacing w:after="0" w:line="500" w:lineRule="exact"/>
              <w:ind w:left="0" w:leftChars="0" w:right="0" w:firstLine="480" w:firstLineChars="200"/>
              <w:jc w:val="left"/>
              <w:textAlignment w:val="auto"/>
            </w:pPr>
            <w:r>
              <w:rPr>
                <w:rFonts w:hint="eastAsia"/>
              </w:rPr>
              <w:t>③</w:t>
            </w:r>
            <w:r>
              <w:t>调节池</w:t>
            </w:r>
          </w:p>
          <w:p>
            <w:pPr>
              <w:keepNext w:val="0"/>
              <w:keepLines w:val="0"/>
              <w:pageBreakBefore w:val="0"/>
              <w:widowControl w:val="0"/>
              <w:kinsoku/>
              <w:wordWrap/>
              <w:overflowPunct/>
              <w:topLinePunct w:val="0"/>
              <w:autoSpaceDE/>
              <w:autoSpaceDN/>
              <w:bidi w:val="0"/>
              <w:adjustRightInd/>
              <w:snapToGrid/>
              <w:spacing w:after="0" w:line="500" w:lineRule="exact"/>
              <w:ind w:left="0" w:leftChars="0" w:right="0" w:firstLine="480" w:firstLineChars="200"/>
              <w:jc w:val="left"/>
              <w:textAlignment w:val="auto"/>
            </w:pPr>
            <w:r>
              <w:t>在调节池内完成水质和水量的均化，提升水位，满足后续处理工艺水力要求。同时在调节池内配套加装液位自控装置。调节池兼具隔油池的作用。</w:t>
            </w:r>
          </w:p>
          <w:p>
            <w:pPr>
              <w:keepNext w:val="0"/>
              <w:keepLines w:val="0"/>
              <w:pageBreakBefore w:val="0"/>
              <w:widowControl w:val="0"/>
              <w:kinsoku/>
              <w:wordWrap/>
              <w:overflowPunct/>
              <w:topLinePunct w:val="0"/>
              <w:autoSpaceDE/>
              <w:autoSpaceDN/>
              <w:bidi w:val="0"/>
              <w:adjustRightInd/>
              <w:snapToGrid/>
              <w:spacing w:after="0" w:line="500" w:lineRule="exact"/>
              <w:ind w:left="0" w:leftChars="0" w:right="0" w:firstLine="480" w:firstLineChars="200"/>
              <w:jc w:val="left"/>
              <w:textAlignment w:val="auto"/>
            </w:pPr>
            <w:r>
              <w:rPr>
                <w:rFonts w:hint="eastAsia"/>
              </w:rPr>
              <w:t>④</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/O+MBR）一体化设备</w:t>
            </w:r>
          </w:p>
          <w:p>
            <w:pPr>
              <w:keepNext w:val="0"/>
              <w:keepLines w:val="0"/>
              <w:pageBreakBefore w:val="0"/>
              <w:widowControl w:val="0"/>
              <w:kinsoku/>
              <w:wordWrap/>
              <w:overflowPunct/>
              <w:topLinePunct w:val="0"/>
              <w:autoSpaceDE/>
              <w:autoSpaceDN/>
              <w:bidi w:val="0"/>
              <w:adjustRightInd/>
              <w:snapToGrid/>
              <w:spacing w:after="0" w:line="500" w:lineRule="exact"/>
              <w:ind w:left="0" w:leftChars="0" w:right="0" w:firstLine="480" w:firstLineChars="200"/>
              <w:jc w:val="left"/>
              <w:textAlignment w:val="auto"/>
              <w:rPr>
                <w:rFonts w:hint="default" w:ascii="Times New Roman" w:hAnsi="Times New Roman" w:eastAsia="宋体" w:cs="Times New Roman"/>
                <w:color w:val="auto"/>
                <w:kern w:val="0"/>
                <w:sz w:val="24"/>
                <w:highlight w:val="none"/>
                <w:shd w:val="clear" w:color="auto" w:fill="FFFFFF"/>
              </w:rPr>
            </w:pPr>
            <w:r>
              <w:rPr>
                <w:rFonts w:hint="default" w:ascii="Times New Roman" w:hAnsi="Times New Roman" w:eastAsia="宋体" w:cs="Times New Roman"/>
                <w:color w:val="auto"/>
                <w:sz w:val="24"/>
                <w:highlight w:val="none"/>
              </w:rPr>
              <w:t>本项目污水处理规模较小，生活处理段适宜采用一体化设备形式，本项目A</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O池、MBR膜池均采用钢结构一体化集成设备，处理</w:t>
            </w:r>
            <w:r>
              <w:rPr>
                <w:rFonts w:hint="eastAsia" w:cs="Times New Roman"/>
                <w:color w:val="auto"/>
                <w:sz w:val="24"/>
                <w:highlight w:val="none"/>
                <w:lang w:eastAsia="zh-CN"/>
              </w:rPr>
              <w:t>后</w:t>
            </w:r>
            <w:r>
              <w:rPr>
                <w:rFonts w:hint="default" w:ascii="Times New Roman" w:hAnsi="Times New Roman" w:eastAsia="宋体" w:cs="Times New Roman"/>
                <w:color w:val="auto"/>
                <w:sz w:val="24"/>
                <w:highlight w:val="none"/>
              </w:rPr>
              <w:t>出水</w:t>
            </w:r>
            <w:r>
              <w:rPr>
                <w:rFonts w:hint="eastAsia"/>
                <w:lang w:val="zh-TW" w:eastAsia="zh-CN"/>
              </w:rPr>
              <w:t>进入清水池</w:t>
            </w:r>
            <w:r>
              <w:rPr>
                <w:rFonts w:hint="default" w:ascii="Times New Roman" w:hAnsi="Times New Roman" w:eastAsia="宋体" w:cs="Times New Roman"/>
                <w:color w:val="auto"/>
                <w:sz w:val="24"/>
                <w:highlight w:val="none"/>
              </w:rPr>
              <w:t>，污泥排放至污泥池后外运处理。</w:t>
            </w:r>
          </w:p>
          <w:p>
            <w:pPr>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0" w:leftChars="0" w:right="0" w:rightChars="0" w:firstLine="480" w:firstLineChars="200"/>
              <w:jc w:val="left"/>
              <w:textAlignment w:val="auto"/>
              <w:rPr>
                <w:rFonts w:hint="eastAsia"/>
                <w:lang w:eastAsia="zh-CN"/>
              </w:rPr>
            </w:pPr>
            <w:r>
              <w:rPr>
                <w:rFonts w:hint="eastAsia"/>
                <w:lang w:eastAsia="zh-CN"/>
              </w:rPr>
              <w:t>⑤污泥池</w:t>
            </w:r>
          </w:p>
          <w:p>
            <w:pPr>
              <w:keepNext w:val="0"/>
              <w:keepLines w:val="0"/>
              <w:pageBreakBefore w:val="0"/>
              <w:widowControl w:val="0"/>
              <w:kinsoku/>
              <w:wordWrap/>
              <w:overflowPunct/>
              <w:topLinePunct w:val="0"/>
              <w:bidi w:val="0"/>
              <w:adjustRightInd/>
              <w:snapToGrid/>
              <w:spacing w:after="0" w:line="500" w:lineRule="exact"/>
              <w:ind w:left="0" w:leftChars="0" w:right="0"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经</w:t>
            </w:r>
            <w:r>
              <w:rPr>
                <w:rFonts w:hint="default" w:ascii="Times New Roman" w:hAnsi="Times New Roman" w:eastAsia="宋体" w:cs="Times New Roman"/>
              </w:rPr>
              <w:t>MBR</w:t>
            </w:r>
            <w:r>
              <w:rPr>
                <w:rFonts w:hint="default" w:ascii="Times New Roman" w:hAnsi="Times New Roman" w:eastAsia="宋体" w:cs="Times New Roman"/>
                <w:lang w:val="zh-TW" w:eastAsia="zh-TW"/>
              </w:rPr>
              <w:t>池</w:t>
            </w:r>
            <w:r>
              <w:rPr>
                <w:rFonts w:hint="default" w:ascii="Times New Roman" w:hAnsi="Times New Roman" w:eastAsia="宋体" w:cs="Times New Roman"/>
                <w:lang w:val="zh-TW" w:eastAsia="zh-CN"/>
              </w:rPr>
              <w:t>处理后产生的污泥</w:t>
            </w:r>
            <w:r>
              <w:rPr>
                <w:rFonts w:hint="default" w:ascii="Times New Roman" w:hAnsi="Times New Roman" w:eastAsia="宋体" w:cs="Times New Roman"/>
                <w:lang w:eastAsia="zh-CN"/>
              </w:rPr>
              <w:t>经泵排入污泥池储存，上清液返回调节池，底泥定时清理。</w:t>
            </w:r>
          </w:p>
          <w:p>
            <w:pPr>
              <w:keepNext w:val="0"/>
              <w:keepLines w:val="0"/>
              <w:pageBreakBefore w:val="0"/>
              <w:widowControl w:val="0"/>
              <w:kinsoku/>
              <w:wordWrap/>
              <w:overflowPunct/>
              <w:topLinePunct w:val="0"/>
              <w:autoSpaceDE/>
              <w:autoSpaceDN/>
              <w:bidi w:val="0"/>
              <w:adjustRightInd/>
              <w:snapToGrid/>
              <w:spacing w:after="0" w:line="500" w:lineRule="exact"/>
              <w:ind w:left="0" w:leftChars="0" w:right="0" w:firstLine="480" w:firstLineChars="200"/>
              <w:jc w:val="left"/>
              <w:textAlignment w:val="auto"/>
            </w:pPr>
            <w:r>
              <w:rPr>
                <w:rFonts w:hint="eastAsia"/>
              </w:rPr>
              <w:t>⑥清水池</w:t>
            </w:r>
          </w:p>
          <w:p>
            <w:pPr>
              <w:keepNext w:val="0"/>
              <w:keepLines w:val="0"/>
              <w:pageBreakBefore w:val="0"/>
              <w:widowControl w:val="0"/>
              <w:kinsoku/>
              <w:wordWrap/>
              <w:overflowPunct/>
              <w:topLinePunct w:val="0"/>
              <w:autoSpaceDE/>
              <w:autoSpaceDN/>
              <w:bidi w:val="0"/>
              <w:adjustRightInd/>
              <w:snapToGrid/>
              <w:spacing w:after="0" w:line="500" w:lineRule="exact"/>
              <w:ind w:left="0" w:leftChars="0" w:right="0" w:firstLine="480" w:firstLineChars="200"/>
              <w:jc w:val="left"/>
              <w:textAlignment w:val="auto"/>
            </w:pPr>
            <w:r>
              <w:rPr>
                <w:rFonts w:hint="eastAsia"/>
              </w:rPr>
              <w:t>清水池用于存储MBR 膜的产水，同时为MBR 膜的反洗提供水源。</w:t>
            </w:r>
          </w:p>
          <w:p>
            <w:pPr>
              <w:keepNext w:val="0"/>
              <w:keepLines w:val="0"/>
              <w:pageBreakBefore w:val="0"/>
              <w:widowControl w:val="0"/>
              <w:kinsoku/>
              <w:wordWrap/>
              <w:overflowPunct/>
              <w:topLinePunct w:val="0"/>
              <w:autoSpaceDE/>
              <w:autoSpaceDN/>
              <w:bidi w:val="0"/>
              <w:adjustRightInd/>
              <w:snapToGrid/>
              <w:spacing w:after="0" w:line="500" w:lineRule="exact"/>
              <w:ind w:left="0" w:leftChars="0" w:right="0" w:firstLine="480" w:firstLineChars="200"/>
              <w:jc w:val="left"/>
              <w:textAlignment w:val="auto"/>
              <w:rPr>
                <w:rFonts w:hint="eastAsia"/>
                <w:lang w:val="en-US" w:eastAsia="zh-CN"/>
              </w:rPr>
            </w:pPr>
            <w:r>
              <w:rPr>
                <w:rFonts w:hint="eastAsia" w:ascii="Times New Roman" w:hAnsi="Times New Roman" w:cs="Times New Roman"/>
                <w:szCs w:val="22"/>
                <w:lang w:eastAsia="zh-CN"/>
              </w:rPr>
              <w:t>在清水池加入</w:t>
            </w:r>
            <w:r>
              <w:rPr>
                <w:rFonts w:hint="eastAsia" w:ascii="Times New Roman" w:hAnsi="Times New Roman" w:cs="Times New Roman"/>
                <w:szCs w:val="22"/>
                <w:lang w:val="en-US" w:eastAsia="zh-CN"/>
              </w:rPr>
              <w:t>次氯酸钠消毒进行消毒</w:t>
            </w:r>
            <w:r>
              <w:rPr>
                <w:rFonts w:hint="eastAsia" w:ascii="Times New Roman" w:hAnsi="Times New Roman" w:cs="Times New Roman"/>
                <w:szCs w:val="22"/>
                <w:lang w:eastAsia="zh-CN"/>
              </w:rPr>
              <w:t>消毒后</w:t>
            </w:r>
            <w:r>
              <w:rPr>
                <w:rFonts w:hint="eastAsia" w:ascii="Times New Roman" w:hAnsi="Times New Roman" w:cs="Times New Roman"/>
                <w:szCs w:val="22"/>
              </w:rPr>
              <w:t>，</w:t>
            </w:r>
            <w:r>
              <w:rPr>
                <w:rFonts w:hint="eastAsia" w:ascii="Times New Roman" w:hAnsi="Times New Roman" w:cs="Times New Roman"/>
                <w:szCs w:val="22"/>
                <w:lang w:eastAsia="zh-CN"/>
              </w:rPr>
              <w:t>排出进入集水池暂存</w:t>
            </w:r>
            <w:r>
              <w:rPr>
                <w:rFonts w:hint="eastAsia"/>
              </w:rPr>
              <w:t>。</w:t>
            </w:r>
          </w:p>
          <w:p>
            <w:pPr>
              <w:pStyle w:val="21"/>
              <w:rPr>
                <w:rFonts w:hint="eastAsia"/>
                <w:lang w:val="en-US" w:eastAsia="zh-CN"/>
              </w:rPr>
            </w:pPr>
          </w:p>
          <w:p>
            <w:pPr>
              <w:pStyle w:val="21"/>
              <w:jc w:val="both"/>
              <w:rPr>
                <w:sz w:val="24"/>
                <w:szCs w:val="24"/>
              </w:rPr>
            </w:pPr>
            <w:r>
              <w:rPr>
                <w:rFonts w:hint="default" w:ascii="Times New Roman" w:hAnsi="Times New Roman" w:eastAsia="宋体" w:cs="Times New Roman"/>
                <w:color w:val="auto"/>
                <w:sz w:val="24"/>
                <w:highlight w:val="none"/>
              </w:rPr>
              <w:drawing>
                <wp:inline distT="0" distB="0" distL="114300" distR="114300">
                  <wp:extent cx="4427220" cy="2354580"/>
                  <wp:effectExtent l="0" t="0" r="11430" b="7620"/>
                  <wp:docPr id="22" name="图片 8" descr="C:\Users\Administrator.PC-20180507CFYD\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C:\Users\Administrator.PC-20180507CFYD\Desktop\图片1.jpg图片1"/>
                          <pic:cNvPicPr>
                            <a:picLocks noChangeAspect="1"/>
                          </pic:cNvPicPr>
                        </pic:nvPicPr>
                        <pic:blipFill>
                          <a:blip r:embed="rId32"/>
                          <a:srcRect t="4630"/>
                          <a:stretch>
                            <a:fillRect/>
                          </a:stretch>
                        </pic:blipFill>
                        <pic:spPr>
                          <a:xfrm>
                            <a:off x="0" y="0"/>
                            <a:ext cx="4427220" cy="2354580"/>
                          </a:xfrm>
                          <a:prstGeom prst="rect">
                            <a:avLst/>
                          </a:prstGeom>
                          <a:noFill/>
                          <a:ln>
                            <a:noFill/>
                          </a:ln>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19" w:hRule="atLeast"/>
        </w:trPr>
        <w:tc>
          <w:tcPr>
            <w:tcW w:w="718" w:type="dxa"/>
            <w:tcBorders>
              <w:top w:val="single" w:color="000000" w:sz="4" w:space="0"/>
              <w:right w:val="single" w:color="000000" w:sz="4" w:space="0"/>
            </w:tcBorders>
            <w:vAlign w:val="center"/>
          </w:tcPr>
          <w:p>
            <w:pPr>
              <w:bidi w:val="0"/>
              <w:jc w:val="center"/>
              <w:rPr>
                <w:sz w:val="24"/>
                <w:szCs w:val="24"/>
              </w:rPr>
            </w:pPr>
            <w:r>
              <w:rPr>
                <w:sz w:val="24"/>
                <w:szCs w:val="24"/>
              </w:rPr>
              <w:t>与项目有关的原有环境污染问题</w:t>
            </w:r>
          </w:p>
        </w:tc>
        <w:tc>
          <w:tcPr>
            <w:tcW w:w="8266"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ind w:firstLine="480"/>
              <w:jc w:val="left"/>
              <w:textAlignment w:val="auto"/>
              <w:rPr>
                <w:szCs w:val="24"/>
              </w:rPr>
            </w:pPr>
            <w:r>
              <w:rPr>
                <w:rFonts w:hint="eastAsia"/>
                <w:szCs w:val="24"/>
              </w:rPr>
              <w:t>项目为新建项目，</w:t>
            </w:r>
            <w:r>
              <w:rPr>
                <w:szCs w:val="24"/>
              </w:rPr>
              <w:t>不存在原有的环境问题</w:t>
            </w:r>
            <w:r>
              <w:rPr>
                <w:rFonts w:hint="eastAsia"/>
                <w:szCs w:val="24"/>
              </w:rPr>
              <w:t>。</w:t>
            </w:r>
          </w:p>
          <w:p>
            <w:pPr>
              <w:keepNext w:val="0"/>
              <w:keepLines w:val="0"/>
              <w:pageBreakBefore w:val="0"/>
              <w:widowControl w:val="0"/>
              <w:kinsoku/>
              <w:wordWrap/>
              <w:overflowPunct/>
              <w:topLinePunct w:val="0"/>
              <w:autoSpaceDE/>
              <w:autoSpaceDN/>
              <w:bidi w:val="0"/>
              <w:adjustRightInd/>
              <w:snapToGrid/>
              <w:spacing w:line="500" w:lineRule="exact"/>
              <w:ind w:firstLine="480"/>
              <w:jc w:val="left"/>
              <w:textAlignment w:val="auto"/>
              <w:rPr>
                <w:highlight w:val="green"/>
              </w:rPr>
            </w:pPr>
            <w:r>
              <w:rPr>
                <w:rFonts w:hint="eastAsia"/>
                <w:szCs w:val="24"/>
              </w:rPr>
              <w:t>区域环境问题主要为农村生活污水面源污染问题，缺少污水收集和处理装置，存在乱排乱倒及渗井排放现象，影响区域土壤、地表水及地下水环境质量。</w:t>
            </w:r>
          </w:p>
          <w:p>
            <w:pPr>
              <w:bidi w:val="0"/>
              <w:jc w:val="center"/>
              <w:rPr>
                <w:sz w:val="24"/>
                <w:szCs w:val="24"/>
              </w:rPr>
            </w:pPr>
          </w:p>
        </w:tc>
      </w:tr>
    </w:tbl>
    <w:p>
      <w:pPr>
        <w:spacing w:after="0"/>
        <w:rPr>
          <w:sz w:val="21"/>
        </w:rPr>
        <w:sectPr>
          <w:pgSz w:w="11910" w:h="16840"/>
          <w:pgMar w:top="1417" w:right="1247" w:bottom="1417" w:left="1247" w:header="0" w:footer="1043" w:gutter="0"/>
          <w:cols w:space="720" w:num="1"/>
        </w:sectPr>
      </w:pPr>
    </w:p>
    <w:p>
      <w:pPr>
        <w:pStyle w:val="3"/>
        <w:bidi w:val="0"/>
        <w:jc w:val="center"/>
        <w:rPr>
          <w:sz w:val="22"/>
        </w:rPr>
      </w:pPr>
      <w:r>
        <w:rPr>
          <w:rFonts w:hint="eastAsia"/>
        </w:rPr>
        <w:t>三、区域环境质量现状、环境保护目标及评价标准</w:t>
      </w:r>
    </w:p>
    <w:tbl>
      <w:tblPr>
        <w:tblStyle w:val="15"/>
        <w:tblW w:w="0" w:type="auto"/>
        <w:tblInd w:w="1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703"/>
        <w:gridCol w:w="842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21" w:hRule="atLeast"/>
        </w:trPr>
        <w:tc>
          <w:tcPr>
            <w:tcW w:w="799" w:type="dxa"/>
            <w:tcBorders>
              <w:bottom w:val="single" w:color="000000" w:sz="4" w:space="0"/>
              <w:right w:val="single" w:color="000000" w:sz="4" w:space="0"/>
            </w:tcBorders>
            <w:vAlign w:val="center"/>
          </w:tcPr>
          <w:p>
            <w:pPr>
              <w:pStyle w:val="26"/>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sz w:val="24"/>
                <w:szCs w:val="24"/>
              </w:rPr>
            </w:pPr>
            <w:r>
              <w:rPr>
                <w:sz w:val="24"/>
                <w:szCs w:val="24"/>
              </w:rPr>
              <w:t>区域环境质量现状</w:t>
            </w:r>
          </w:p>
        </w:tc>
        <w:tc>
          <w:tcPr>
            <w:tcW w:w="8190" w:type="dxa"/>
            <w:tcBorders>
              <w:left w:val="single" w:color="000000" w:sz="4" w:space="0"/>
              <w:bottom w:val="single" w:color="000000" w:sz="4" w:space="0"/>
            </w:tcBorders>
            <w:vAlign w:val="center"/>
          </w:tcPr>
          <w:p>
            <w:pPr>
              <w:keepNext w:val="0"/>
              <w:keepLines w:val="0"/>
              <w:pageBreakBefore w:val="0"/>
              <w:widowControl w:val="0"/>
              <w:tabs>
                <w:tab w:val="left" w:pos="660"/>
              </w:tabs>
              <w:kinsoku/>
              <w:wordWrap/>
              <w:overflowPunct/>
              <w:topLinePunct w:val="0"/>
              <w:autoSpaceDE/>
              <w:autoSpaceDN/>
              <w:bidi w:val="0"/>
              <w:adjustRightInd w:val="0"/>
              <w:snapToGrid w:val="0"/>
              <w:spacing w:line="500" w:lineRule="exact"/>
              <w:ind w:right="0" w:firstLine="482" w:firstLineChars="200"/>
              <w:jc w:val="left"/>
              <w:textAlignment w:val="auto"/>
              <w:outlineLvl w:val="9"/>
              <w:rPr>
                <w:rFonts w:hint="default" w:ascii="Times New Roman" w:hAnsi="Times New Roman" w:eastAsia="宋体" w:cs="Times New Roman"/>
                <w:b/>
                <w:bCs/>
                <w:sz w:val="24"/>
              </w:rPr>
            </w:pPr>
            <w:bookmarkStart w:id="2" w:name="_Toc459100486"/>
            <w:bookmarkStart w:id="3" w:name="_Toc497507372"/>
            <w:r>
              <w:rPr>
                <w:rFonts w:hint="default" w:ascii="Times New Roman" w:hAnsi="Times New Roman" w:eastAsia="宋体" w:cs="Times New Roman"/>
                <w:b/>
                <w:bCs/>
                <w:sz w:val="24"/>
                <w:lang w:val="en-US" w:eastAsia="zh-CN"/>
              </w:rPr>
              <w:t>1、</w:t>
            </w:r>
            <w:r>
              <w:rPr>
                <w:rFonts w:hint="default" w:ascii="Times New Roman" w:hAnsi="Times New Roman" w:eastAsia="宋体" w:cs="Times New Roman"/>
                <w:b/>
                <w:bCs/>
                <w:sz w:val="24"/>
              </w:rPr>
              <w:t>环境空气</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default" w:ascii="Times New Roman" w:hAnsi="Times New Roman" w:eastAsia="宋体" w:cs="Times New Roman"/>
                <w:b/>
                <w:bCs/>
                <w:sz w:val="24"/>
                <w:szCs w:val="24"/>
              </w:rPr>
            </w:pPr>
            <w:r>
              <w:rPr>
                <w:rFonts w:hint="default" w:ascii="Times New Roman" w:hAnsi="Times New Roman" w:eastAsia="宋体" w:cs="Times New Roman"/>
                <w:sz w:val="24"/>
                <w:szCs w:val="24"/>
              </w:rPr>
              <w:t>本项目评价引用20</w:t>
            </w:r>
            <w:r>
              <w:rPr>
                <w:rFonts w:hint="eastAsia" w:cs="Times New Roman"/>
                <w:sz w:val="24"/>
                <w:szCs w:val="24"/>
                <w:lang w:val="en-US" w:eastAsia="zh-CN"/>
              </w:rPr>
              <w:t>21</w:t>
            </w:r>
            <w:r>
              <w:rPr>
                <w:rFonts w:hint="default" w:ascii="Times New Roman" w:hAnsi="Times New Roman" w:eastAsia="宋体" w:cs="Times New Roman"/>
                <w:sz w:val="24"/>
                <w:szCs w:val="24"/>
              </w:rPr>
              <w:t>年</w:t>
            </w:r>
            <w:r>
              <w:rPr>
                <w:rFonts w:hint="eastAsia" w:cs="Times New Roman"/>
                <w:sz w:val="24"/>
                <w:szCs w:val="24"/>
                <w:lang w:val="en-US" w:eastAsia="zh-CN"/>
              </w:rPr>
              <w:t>6</w:t>
            </w:r>
            <w:r>
              <w:rPr>
                <w:rFonts w:hint="default" w:ascii="Times New Roman" w:hAnsi="Times New Roman" w:eastAsia="宋体" w:cs="Times New Roman"/>
                <w:sz w:val="24"/>
                <w:szCs w:val="24"/>
              </w:rPr>
              <w:t>月</w:t>
            </w:r>
            <w:r>
              <w:rPr>
                <w:rFonts w:hint="eastAsia" w:cs="Times New Roman"/>
                <w:sz w:val="24"/>
                <w:szCs w:val="24"/>
                <w:lang w:eastAsia="zh-CN"/>
              </w:rPr>
              <w:t>承德市生态环境局</w:t>
            </w:r>
            <w:r>
              <w:rPr>
                <w:rFonts w:hint="default" w:ascii="Times New Roman" w:hAnsi="Times New Roman" w:eastAsia="宋体" w:cs="Times New Roman"/>
                <w:sz w:val="24"/>
                <w:szCs w:val="24"/>
              </w:rPr>
              <w:t>发布的《20</w:t>
            </w:r>
            <w:r>
              <w:rPr>
                <w:rFonts w:hint="eastAsia" w:cs="Times New Roman"/>
                <w:sz w:val="24"/>
                <w:szCs w:val="24"/>
                <w:lang w:val="en-US" w:eastAsia="zh-CN"/>
              </w:rPr>
              <w:t>20</w:t>
            </w:r>
            <w:r>
              <w:rPr>
                <w:rFonts w:hint="default" w:ascii="Times New Roman" w:hAnsi="Times New Roman" w:eastAsia="宋体" w:cs="Times New Roman"/>
                <w:sz w:val="24"/>
                <w:szCs w:val="24"/>
              </w:rPr>
              <w:t>年承德市环境状况公报》常规数据，</w:t>
            </w:r>
            <w:r>
              <w:rPr>
                <w:rFonts w:hint="default" w:ascii="Times New Roman" w:hAnsi="Times New Roman" w:eastAsia="宋体" w:cs="Times New Roman"/>
                <w:sz w:val="24"/>
                <w:szCs w:val="24"/>
                <w:lang w:val="en-US" w:eastAsia="zh-CN"/>
              </w:rPr>
              <w:t>根据</w:t>
            </w:r>
            <w:r>
              <w:rPr>
                <w:rFonts w:hint="default" w:ascii="Times New Roman" w:hAnsi="Times New Roman" w:eastAsia="宋体" w:cs="Times New Roman"/>
                <w:sz w:val="24"/>
                <w:szCs w:val="24"/>
              </w:rPr>
              <w:t>大气常规污染物中的PM</w:t>
            </w:r>
            <w:r>
              <w:rPr>
                <w:rFonts w:hint="default" w:ascii="Times New Roman" w:hAnsi="Times New Roman" w:eastAsia="宋体" w:cs="Times New Roman"/>
                <w:sz w:val="24"/>
                <w:szCs w:val="24"/>
                <w:vertAlign w:val="subscript"/>
              </w:rPr>
              <w:t>10</w:t>
            </w:r>
            <w:r>
              <w:rPr>
                <w:rFonts w:hint="default" w:ascii="Times New Roman" w:hAnsi="Times New Roman" w:eastAsia="宋体" w:cs="Times New Roman"/>
                <w:sz w:val="24"/>
                <w:szCs w:val="24"/>
              </w:rPr>
              <w:t>、PM</w:t>
            </w:r>
            <w:r>
              <w:rPr>
                <w:rFonts w:hint="default" w:ascii="Times New Roman" w:hAnsi="Times New Roman" w:eastAsia="宋体" w:cs="Times New Roman"/>
                <w:sz w:val="24"/>
                <w:szCs w:val="24"/>
                <w:vertAlign w:val="subscript"/>
              </w:rPr>
              <w:t>2.5</w:t>
            </w:r>
            <w:r>
              <w:rPr>
                <w:rFonts w:hint="default" w:ascii="Times New Roman" w:hAnsi="Times New Roman" w:eastAsia="宋体" w:cs="Times New Roman"/>
                <w:sz w:val="24"/>
                <w:szCs w:val="24"/>
              </w:rPr>
              <w:t>、SO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、NO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、CO、O</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现状监测统计资料，来说明拟建地区的环境空气质量，监测结果见表。</w:t>
            </w:r>
          </w:p>
          <w:p>
            <w:pPr>
              <w:keepNext w:val="0"/>
              <w:keepLines w:val="0"/>
              <w:pageBreakBefore w:val="0"/>
              <w:widowControl w:val="0"/>
              <w:kinsoku/>
              <w:wordWrap/>
              <w:overflowPunct/>
              <w:topLinePunct w:val="0"/>
              <w:autoSpaceDE w:val="0"/>
              <w:autoSpaceDN w:val="0"/>
              <w:bidi w:val="0"/>
              <w:adjustRightInd w:val="0"/>
              <w:snapToGrid/>
              <w:spacing w:line="500" w:lineRule="exact"/>
              <w:ind w:firstLine="422" w:firstLineChars="200"/>
              <w:jc w:val="center"/>
              <w:textAlignment w:val="auto"/>
              <w:outlineLvl w:val="9"/>
              <w:rPr>
                <w:rFonts w:hint="default" w:ascii="Times New Roman" w:hAnsi="Times New Roman" w:cs="Times New Roman"/>
                <w:b/>
                <w:bCs/>
                <w:sz w:val="21"/>
                <w:szCs w:val="21"/>
              </w:rPr>
            </w:pPr>
            <w:r>
              <w:rPr>
                <w:rFonts w:hint="default" w:ascii="Times New Roman" w:hAnsi="Times New Roman" w:cs="Times New Roman"/>
                <w:b/>
                <w:bCs/>
                <w:sz w:val="21"/>
                <w:szCs w:val="21"/>
              </w:rPr>
              <w:t>表</w:t>
            </w:r>
            <w:r>
              <w:rPr>
                <w:rFonts w:hint="eastAsia" w:cs="Times New Roman"/>
                <w:b/>
                <w:bCs/>
                <w:sz w:val="21"/>
                <w:szCs w:val="21"/>
                <w:lang w:val="en-US" w:eastAsia="zh-CN"/>
              </w:rPr>
              <w:t>3-1</w:t>
            </w:r>
            <w:r>
              <w:rPr>
                <w:rFonts w:hint="default" w:ascii="Times New Roman" w:hAnsi="Times New Roman" w:cs="Times New Roman"/>
                <w:b/>
                <w:bCs/>
                <w:sz w:val="21"/>
                <w:szCs w:val="21"/>
                <w:lang w:val="en-US" w:eastAsia="zh-CN"/>
              </w:rPr>
              <w:t xml:space="preserve"> </w:t>
            </w:r>
            <w:r>
              <w:rPr>
                <w:rFonts w:hint="default" w:ascii="Times New Roman" w:hAnsi="Times New Roman" w:cs="Times New Roman"/>
                <w:b/>
                <w:bCs/>
                <w:sz w:val="21"/>
                <w:szCs w:val="21"/>
              </w:rPr>
              <w:t xml:space="preserve">  20</w:t>
            </w:r>
            <w:r>
              <w:rPr>
                <w:rFonts w:hint="eastAsia" w:cs="Times New Roman"/>
                <w:b/>
                <w:bCs/>
                <w:sz w:val="21"/>
                <w:szCs w:val="21"/>
                <w:lang w:val="en-US" w:eastAsia="zh-CN"/>
              </w:rPr>
              <w:t>20</w:t>
            </w:r>
            <w:r>
              <w:rPr>
                <w:rFonts w:hint="default" w:ascii="Times New Roman" w:hAnsi="Times New Roman" w:cs="Times New Roman"/>
                <w:b/>
                <w:bCs/>
                <w:sz w:val="21"/>
                <w:szCs w:val="21"/>
              </w:rPr>
              <w:t>年兴隆县环境空气中常规污染物浓度</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9"/>
              <w:gridCol w:w="1842"/>
              <w:gridCol w:w="1558"/>
              <w:gridCol w:w="1168"/>
              <w:gridCol w:w="1030"/>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污染物</w:t>
                  </w:r>
                </w:p>
              </w:tc>
              <w:tc>
                <w:tcPr>
                  <w:tcW w:w="1096"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年评价指标</w:t>
                  </w:r>
                </w:p>
              </w:tc>
              <w:tc>
                <w:tcPr>
                  <w:tcW w:w="927"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现状浓度（ug/m</w:t>
                  </w:r>
                  <w:r>
                    <w:rPr>
                      <w:rFonts w:hint="default" w:ascii="Times New Roman" w:hAnsi="Times New Roman" w:cs="Times New Roman"/>
                      <w:b/>
                      <w:bCs/>
                      <w:kern w:val="0"/>
                      <w:sz w:val="21"/>
                      <w:szCs w:val="21"/>
                      <w:vertAlign w:val="superscript"/>
                    </w:rPr>
                    <w:t>3</w:t>
                  </w:r>
                  <w:r>
                    <w:rPr>
                      <w:rFonts w:hint="default" w:ascii="Times New Roman" w:hAnsi="Times New Roman" w:cs="Times New Roman"/>
                      <w:b/>
                      <w:bCs/>
                      <w:kern w:val="0"/>
                      <w:sz w:val="21"/>
                      <w:szCs w:val="21"/>
                    </w:rPr>
                    <w:t>）</w:t>
                  </w:r>
                </w:p>
              </w:tc>
              <w:tc>
                <w:tcPr>
                  <w:tcW w:w="695"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标准浓度</w:t>
                  </w:r>
                </w:p>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（ug/m</w:t>
                  </w:r>
                  <w:r>
                    <w:rPr>
                      <w:rFonts w:hint="default" w:ascii="Times New Roman" w:hAnsi="Times New Roman" w:cs="Times New Roman"/>
                      <w:b/>
                      <w:bCs/>
                      <w:kern w:val="0"/>
                      <w:sz w:val="21"/>
                      <w:szCs w:val="21"/>
                      <w:vertAlign w:val="superscript"/>
                    </w:rPr>
                    <w:t>3</w:t>
                  </w:r>
                  <w:r>
                    <w:rPr>
                      <w:rFonts w:hint="default" w:ascii="Times New Roman" w:hAnsi="Times New Roman" w:cs="Times New Roman"/>
                      <w:b/>
                      <w:bCs/>
                      <w:kern w:val="0"/>
                      <w:sz w:val="21"/>
                      <w:szCs w:val="21"/>
                    </w:rPr>
                    <w:t>）</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占标率</w:t>
                  </w:r>
                </w:p>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w:t>
                  </w:r>
                </w:p>
              </w:tc>
              <w:tc>
                <w:tcPr>
                  <w:tcW w:w="833"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PM</w:t>
                  </w:r>
                  <w:r>
                    <w:rPr>
                      <w:rFonts w:hint="default" w:ascii="Times New Roman" w:hAnsi="Times New Roman" w:cs="Times New Roman"/>
                      <w:b w:val="0"/>
                      <w:bCs w:val="0"/>
                      <w:kern w:val="0"/>
                      <w:sz w:val="21"/>
                      <w:szCs w:val="21"/>
                      <w:vertAlign w:val="subscript"/>
                    </w:rPr>
                    <w:t>10</w:t>
                  </w:r>
                </w:p>
              </w:tc>
              <w:tc>
                <w:tcPr>
                  <w:tcW w:w="1096" w:type="pct"/>
                  <w:vMerge w:val="restar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年平均质量浓度</w:t>
                  </w:r>
                </w:p>
              </w:tc>
              <w:tc>
                <w:tcPr>
                  <w:tcW w:w="927" w:type="pct"/>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cs="Times New Roman"/>
                      <w:b w:val="0"/>
                      <w:bCs w:val="0"/>
                      <w:kern w:val="0"/>
                      <w:sz w:val="21"/>
                      <w:szCs w:val="21"/>
                      <w:lang w:val="en-US" w:eastAsia="zh-CN"/>
                    </w:rPr>
                    <w:t>63</w:t>
                  </w:r>
                </w:p>
              </w:tc>
              <w:tc>
                <w:tcPr>
                  <w:tcW w:w="695"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70</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cs="Times New Roman"/>
                      <w:b w:val="0"/>
                      <w:bCs w:val="0"/>
                      <w:kern w:val="0"/>
                      <w:sz w:val="21"/>
                      <w:szCs w:val="21"/>
                      <w:lang w:val="en-US" w:eastAsia="zh-CN"/>
                    </w:rPr>
                    <w:t>90</w:t>
                  </w:r>
                </w:p>
              </w:tc>
              <w:tc>
                <w:tcPr>
                  <w:tcW w:w="833"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33"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PM</w:t>
                  </w:r>
                  <w:r>
                    <w:rPr>
                      <w:rFonts w:hint="default" w:ascii="Times New Roman" w:hAnsi="Times New Roman" w:cs="Times New Roman"/>
                      <w:b w:val="0"/>
                      <w:bCs w:val="0"/>
                      <w:kern w:val="0"/>
                      <w:sz w:val="21"/>
                      <w:szCs w:val="21"/>
                      <w:vertAlign w:val="subscript"/>
                    </w:rPr>
                    <w:t>2.5</w:t>
                  </w:r>
                </w:p>
              </w:tc>
              <w:tc>
                <w:tcPr>
                  <w:tcW w:w="1096" w:type="pct"/>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 w:val="0"/>
                      <w:bCs w:val="0"/>
                      <w:kern w:val="0"/>
                      <w:sz w:val="21"/>
                      <w:szCs w:val="21"/>
                    </w:rPr>
                  </w:pPr>
                </w:p>
              </w:tc>
              <w:tc>
                <w:tcPr>
                  <w:tcW w:w="927"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cs="Times New Roman"/>
                      <w:b w:val="0"/>
                      <w:bCs w:val="0"/>
                      <w:kern w:val="0"/>
                      <w:sz w:val="21"/>
                      <w:szCs w:val="21"/>
                      <w:lang w:val="en-US" w:eastAsia="zh-CN"/>
                    </w:rPr>
                    <w:t>32</w:t>
                  </w:r>
                </w:p>
              </w:tc>
              <w:tc>
                <w:tcPr>
                  <w:tcW w:w="695"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35</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cs="Times New Roman"/>
                      <w:b w:val="0"/>
                      <w:bCs w:val="0"/>
                      <w:kern w:val="0"/>
                      <w:sz w:val="21"/>
                      <w:szCs w:val="21"/>
                      <w:lang w:val="en-US" w:eastAsia="zh-CN"/>
                    </w:rPr>
                    <w:t>91.4</w:t>
                  </w:r>
                </w:p>
              </w:tc>
              <w:tc>
                <w:tcPr>
                  <w:tcW w:w="833"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33"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SO</w:t>
                  </w:r>
                  <w:r>
                    <w:rPr>
                      <w:rFonts w:hint="default" w:ascii="Times New Roman" w:hAnsi="Times New Roman" w:cs="Times New Roman"/>
                      <w:b w:val="0"/>
                      <w:bCs w:val="0"/>
                      <w:kern w:val="0"/>
                      <w:sz w:val="21"/>
                      <w:szCs w:val="21"/>
                      <w:vertAlign w:val="subscript"/>
                    </w:rPr>
                    <w:t>2</w:t>
                  </w:r>
                </w:p>
              </w:tc>
              <w:tc>
                <w:tcPr>
                  <w:tcW w:w="1096" w:type="pct"/>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 w:val="0"/>
                      <w:bCs w:val="0"/>
                      <w:kern w:val="0"/>
                      <w:sz w:val="21"/>
                      <w:szCs w:val="21"/>
                    </w:rPr>
                  </w:pPr>
                </w:p>
              </w:tc>
              <w:tc>
                <w:tcPr>
                  <w:tcW w:w="927"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cs="Times New Roman"/>
                      <w:b w:val="0"/>
                      <w:bCs w:val="0"/>
                      <w:kern w:val="0"/>
                      <w:sz w:val="21"/>
                      <w:szCs w:val="21"/>
                      <w:lang w:val="en-US" w:eastAsia="zh-CN"/>
                    </w:rPr>
                    <w:t>7</w:t>
                  </w:r>
                </w:p>
              </w:tc>
              <w:tc>
                <w:tcPr>
                  <w:tcW w:w="695"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60</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cs="Times New Roman"/>
                      <w:b w:val="0"/>
                      <w:bCs w:val="0"/>
                      <w:kern w:val="0"/>
                      <w:sz w:val="21"/>
                      <w:szCs w:val="21"/>
                      <w:lang w:val="en-US" w:eastAsia="zh-CN"/>
                    </w:rPr>
                    <w:t>11.7</w:t>
                  </w:r>
                </w:p>
              </w:tc>
              <w:tc>
                <w:tcPr>
                  <w:tcW w:w="833"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33"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NO</w:t>
                  </w:r>
                  <w:r>
                    <w:rPr>
                      <w:rFonts w:hint="default" w:ascii="Times New Roman" w:hAnsi="Times New Roman" w:cs="Times New Roman"/>
                      <w:b w:val="0"/>
                      <w:bCs w:val="0"/>
                      <w:kern w:val="0"/>
                      <w:sz w:val="21"/>
                      <w:szCs w:val="21"/>
                      <w:vertAlign w:val="subscript"/>
                    </w:rPr>
                    <w:t>2</w:t>
                  </w:r>
                </w:p>
              </w:tc>
              <w:tc>
                <w:tcPr>
                  <w:tcW w:w="1096" w:type="pct"/>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 w:val="0"/>
                      <w:bCs w:val="0"/>
                      <w:kern w:val="0"/>
                      <w:sz w:val="21"/>
                      <w:szCs w:val="21"/>
                    </w:rPr>
                  </w:pPr>
                </w:p>
              </w:tc>
              <w:tc>
                <w:tcPr>
                  <w:tcW w:w="927"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cs="Times New Roman"/>
                      <w:b w:val="0"/>
                      <w:bCs w:val="0"/>
                      <w:kern w:val="0"/>
                      <w:sz w:val="21"/>
                      <w:szCs w:val="21"/>
                      <w:lang w:val="en-US" w:eastAsia="zh-CN"/>
                    </w:rPr>
                    <w:t>26</w:t>
                  </w:r>
                </w:p>
              </w:tc>
              <w:tc>
                <w:tcPr>
                  <w:tcW w:w="695"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40</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cs="Times New Roman"/>
                      <w:b w:val="0"/>
                      <w:bCs w:val="0"/>
                      <w:kern w:val="0"/>
                      <w:sz w:val="21"/>
                      <w:szCs w:val="21"/>
                      <w:lang w:val="en-US" w:eastAsia="zh-CN"/>
                    </w:rPr>
                    <w:t>65</w:t>
                  </w:r>
                </w:p>
              </w:tc>
              <w:tc>
                <w:tcPr>
                  <w:tcW w:w="833"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33"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CO</w:t>
                  </w:r>
                </w:p>
              </w:tc>
              <w:tc>
                <w:tcPr>
                  <w:tcW w:w="1096"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第95百分位数24h平均浓度</w:t>
                  </w:r>
                </w:p>
              </w:tc>
              <w:tc>
                <w:tcPr>
                  <w:tcW w:w="927"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cs="Times New Roman"/>
                      <w:b w:val="0"/>
                      <w:bCs w:val="0"/>
                      <w:kern w:val="0"/>
                      <w:sz w:val="21"/>
                      <w:szCs w:val="21"/>
                      <w:lang w:val="en-US" w:eastAsia="zh-CN"/>
                    </w:rPr>
                    <w:t>1.6</w:t>
                  </w:r>
                </w:p>
              </w:tc>
              <w:tc>
                <w:tcPr>
                  <w:tcW w:w="695"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4.0</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cs="Times New Roman"/>
                      <w:b w:val="0"/>
                      <w:bCs w:val="0"/>
                      <w:kern w:val="0"/>
                      <w:sz w:val="21"/>
                      <w:szCs w:val="21"/>
                      <w:lang w:val="en-US" w:eastAsia="zh-CN"/>
                    </w:rPr>
                    <w:t>40</w:t>
                  </w:r>
                </w:p>
              </w:tc>
              <w:tc>
                <w:tcPr>
                  <w:tcW w:w="833"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33"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O</w:t>
                  </w:r>
                  <w:r>
                    <w:rPr>
                      <w:rFonts w:hint="default" w:ascii="Times New Roman" w:hAnsi="Times New Roman" w:cs="Times New Roman"/>
                      <w:b w:val="0"/>
                      <w:bCs w:val="0"/>
                      <w:kern w:val="0"/>
                      <w:sz w:val="21"/>
                      <w:szCs w:val="21"/>
                      <w:vertAlign w:val="subscript"/>
                    </w:rPr>
                    <w:t>3</w:t>
                  </w:r>
                </w:p>
              </w:tc>
              <w:tc>
                <w:tcPr>
                  <w:tcW w:w="1096"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第90百分位数8h平均浓度</w:t>
                  </w:r>
                </w:p>
              </w:tc>
              <w:tc>
                <w:tcPr>
                  <w:tcW w:w="927"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cs="Times New Roman"/>
                      <w:b w:val="0"/>
                      <w:bCs w:val="0"/>
                      <w:kern w:val="0"/>
                      <w:sz w:val="21"/>
                      <w:szCs w:val="21"/>
                      <w:lang w:val="en-US" w:eastAsia="zh-CN"/>
                    </w:rPr>
                    <w:t>171</w:t>
                  </w:r>
                </w:p>
              </w:tc>
              <w:tc>
                <w:tcPr>
                  <w:tcW w:w="695"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160</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cs="Times New Roman"/>
                      <w:b w:val="0"/>
                      <w:bCs w:val="0"/>
                      <w:kern w:val="0"/>
                      <w:sz w:val="21"/>
                      <w:szCs w:val="21"/>
                      <w:lang w:val="en-US" w:eastAsia="zh-CN"/>
                    </w:rPr>
                    <w:t>107</w:t>
                  </w:r>
                </w:p>
              </w:tc>
              <w:tc>
                <w:tcPr>
                  <w:tcW w:w="833"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不达标</w:t>
                  </w:r>
                </w:p>
              </w:tc>
            </w:tr>
          </w:tbl>
          <w:p>
            <w:pPr>
              <w:keepNext w:val="0"/>
              <w:keepLines w:val="0"/>
              <w:pageBreakBefore w:val="0"/>
              <w:widowControl w:val="0"/>
              <w:shd w:val="clear" w:color="auto" w:fill="FFFFFF"/>
              <w:kinsoku/>
              <w:wordWrap/>
              <w:overflowPunct/>
              <w:topLinePunct w:val="0"/>
              <w:autoSpaceDE/>
              <w:autoSpaceDN/>
              <w:bidi w:val="0"/>
              <w:adjustRightInd/>
              <w:snapToGrid/>
              <w:spacing w:line="500" w:lineRule="exact"/>
              <w:ind w:firstLine="420" w:firstLineChars="200"/>
              <w:jc w:val="left"/>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注：1.CO的浓度单位是 mg/m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，PM</w:t>
            </w:r>
            <w:r>
              <w:rPr>
                <w:rFonts w:hint="default" w:ascii="Times New Roman" w:hAnsi="Times New Roman" w:eastAsia="仿宋" w:cs="Times New Roman"/>
                <w:sz w:val="21"/>
                <w:szCs w:val="21"/>
                <w:vertAlign w:val="subscript"/>
              </w:rPr>
              <w:t>2.5</w:t>
            </w:r>
            <w:r>
              <w:rPr>
                <w:rFonts w:hint="default" w:ascii="Times New Roman" w:hAnsi="Times New Roman" w:eastAsia="仿宋" w:cs="Times New Roman"/>
                <w:sz w:val="21"/>
                <w:szCs w:val="21"/>
              </w:rPr>
              <w:t>、PM</w:t>
            </w:r>
            <w:r>
              <w:rPr>
                <w:rFonts w:hint="default" w:ascii="Times New Roman" w:hAnsi="Times New Roman" w:eastAsia="仿宋" w:cs="Times New Roman"/>
                <w:sz w:val="21"/>
                <w:szCs w:val="21"/>
                <w:vertAlign w:val="subscript"/>
              </w:rPr>
              <w:t>10</w:t>
            </w:r>
            <w:r>
              <w:rPr>
                <w:rFonts w:hint="default" w:ascii="Times New Roman" w:hAnsi="Times New Roman" w:eastAsia="仿宋" w:cs="Times New Roman"/>
                <w:sz w:val="21"/>
                <w:szCs w:val="21"/>
              </w:rPr>
              <w:t>、NO</w:t>
            </w:r>
            <w:r>
              <w:rPr>
                <w:rFonts w:hint="default" w:ascii="Times New Roman" w:hAnsi="Times New Roman" w:eastAsia="仿宋" w:cs="Times New Roman"/>
                <w:sz w:val="21"/>
                <w:szCs w:val="21"/>
                <w:vertAlign w:val="subscript"/>
              </w:rPr>
              <w:t>2</w:t>
            </w:r>
            <w:r>
              <w:rPr>
                <w:rFonts w:hint="default" w:ascii="Times New Roman" w:hAnsi="Times New Roman" w:eastAsia="仿宋" w:cs="Times New Roman"/>
                <w:sz w:val="21"/>
                <w:szCs w:val="21"/>
              </w:rPr>
              <w:t>、SO</w:t>
            </w:r>
            <w:r>
              <w:rPr>
                <w:rFonts w:hint="default" w:ascii="Times New Roman" w:hAnsi="Times New Roman" w:eastAsia="仿宋" w:cs="Times New Roman"/>
                <w:sz w:val="21"/>
                <w:szCs w:val="21"/>
                <w:vertAlign w:val="subscript"/>
              </w:rPr>
              <w:t>2</w:t>
            </w:r>
            <w:r>
              <w:rPr>
                <w:rFonts w:hint="default" w:ascii="Times New Roman" w:hAnsi="Times New Roman" w:eastAsia="仿宋" w:cs="Times New Roman"/>
                <w:sz w:val="21"/>
                <w:szCs w:val="21"/>
              </w:rPr>
              <w:t>、O</w:t>
            </w:r>
            <w:r>
              <w:rPr>
                <w:rFonts w:hint="default" w:ascii="Times New Roman" w:hAnsi="Times New Roman" w:eastAsia="仿宋" w:cs="Times New Roman"/>
                <w:sz w:val="21"/>
                <w:szCs w:val="21"/>
                <w:vertAlign w:val="subscript"/>
              </w:rPr>
              <w:t>3</w:t>
            </w:r>
            <w:r>
              <w:rPr>
                <w:rFonts w:hint="default" w:ascii="Times New Roman" w:hAnsi="Times New Roman" w:eastAsia="仿宋" w:cs="Times New Roman"/>
                <w:sz w:val="21"/>
                <w:szCs w:val="21"/>
              </w:rPr>
              <w:t>的浓度单位是μg/m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；2.CO为24小时平均第95百分位数，O</w:t>
            </w:r>
            <w:r>
              <w:rPr>
                <w:rFonts w:hint="default" w:ascii="Times New Roman" w:hAnsi="Times New Roman" w:eastAsia="仿宋" w:cs="Times New Roman"/>
                <w:sz w:val="21"/>
                <w:szCs w:val="21"/>
                <w:vertAlign w:val="subscript"/>
              </w:rPr>
              <w:t>3</w:t>
            </w:r>
            <w:r>
              <w:rPr>
                <w:rFonts w:hint="default" w:ascii="Times New Roman" w:hAnsi="Times New Roman" w:eastAsia="仿宋" w:cs="Times New Roman"/>
                <w:sz w:val="21"/>
                <w:szCs w:val="21"/>
              </w:rPr>
              <w:t>为日最大8小时平均第90百分位数；3.表中CO为24小时均值、O</w:t>
            </w:r>
            <w:r>
              <w:rPr>
                <w:rFonts w:hint="default" w:ascii="Times New Roman" w:hAnsi="Times New Roman" w:eastAsia="仿宋" w:cs="Times New Roman"/>
                <w:sz w:val="21"/>
                <w:szCs w:val="21"/>
                <w:vertAlign w:val="subscript"/>
              </w:rPr>
              <w:t>3</w:t>
            </w:r>
            <w:r>
              <w:rPr>
                <w:rFonts w:hint="default" w:ascii="Times New Roman" w:hAnsi="Times New Roman" w:eastAsia="仿宋" w:cs="Times New Roman"/>
                <w:sz w:val="21"/>
                <w:szCs w:val="21"/>
              </w:rPr>
              <w:t>为日最大8小时平均值，其余为年均值。</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cs="Times New Roman"/>
                <w:color w:val="auto"/>
                <w:sz w:val="24"/>
                <w:szCs w:val="24"/>
                <w:highlight w:val="none"/>
                <w:lang w:eastAsia="zh-CN"/>
              </w:rPr>
            </w:pPr>
            <w:r>
              <w:rPr>
                <w:rFonts w:hint="default"/>
                <w:sz w:val="24"/>
                <w:szCs w:val="24"/>
              </w:rPr>
              <w:t>由上表可知，六项</w:t>
            </w:r>
            <w:r>
              <w:rPr>
                <w:rFonts w:hint="eastAsia"/>
                <w:sz w:val="24"/>
                <w:szCs w:val="24"/>
                <w:lang w:eastAsia="zh-CN"/>
              </w:rPr>
              <w:t>基本</w:t>
            </w:r>
            <w:r>
              <w:rPr>
                <w:rFonts w:hint="default"/>
                <w:sz w:val="24"/>
                <w:szCs w:val="24"/>
              </w:rPr>
              <w:t>污染物</w:t>
            </w:r>
            <w:r>
              <w:rPr>
                <w:rFonts w:hint="eastAsia"/>
                <w:sz w:val="24"/>
                <w:szCs w:val="24"/>
                <w:lang w:eastAsia="zh-CN"/>
              </w:rPr>
              <w:t>未</w:t>
            </w:r>
            <w:r>
              <w:rPr>
                <w:rFonts w:hint="default"/>
                <w:sz w:val="24"/>
                <w:szCs w:val="24"/>
              </w:rPr>
              <w:t>全部达标，本项目所在区域的环境空气质量为不达标区域</w:t>
            </w:r>
            <w:r>
              <w:rPr>
                <w:rFonts w:hint="eastAsia"/>
                <w:sz w:val="24"/>
                <w:szCs w:val="24"/>
              </w:rPr>
              <w:t>。</w:t>
            </w:r>
            <w:r>
              <w:rPr>
                <w:rFonts w:hint="eastAsia"/>
                <w:sz w:val="24"/>
                <w:szCs w:val="24"/>
                <w:lang w:val="en-US" w:eastAsia="zh-CN"/>
              </w:rPr>
              <w:t>2020年环境空气质量较上一年度有明显改善，仅臭氧不能满足</w:t>
            </w:r>
            <w:r>
              <w:rPr>
                <w:rFonts w:hint="default" w:ascii="Times New Roman" w:hAnsi="Times New Roman" w:cs="Times New Roman"/>
                <w:kern w:val="24"/>
                <w:sz w:val="24"/>
                <w:szCs w:val="24"/>
                <w:highlight w:val="none"/>
              </w:rPr>
              <w:t>《环境空气质量标准》（GB3095-2012）</w:t>
            </w:r>
            <w:r>
              <w:rPr>
                <w:rFonts w:hint="default" w:ascii="Times New Roman" w:hAnsi="Times New Roman" w:cs="Times New Roman"/>
                <w:color w:val="auto"/>
                <w:sz w:val="24"/>
                <w:szCs w:val="24"/>
                <w:highlight w:val="none"/>
              </w:rPr>
              <w:t>中二级标准</w:t>
            </w:r>
            <w:r>
              <w:rPr>
                <w:rFonts w:hint="eastAsia"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b w:val="0"/>
                <w:bCs w:val="0"/>
                <w:color w:val="auto"/>
                <w:kern w:val="2"/>
                <w:sz w:val="24"/>
                <w:szCs w:val="24"/>
              </w:rPr>
              <w:t>O</w:t>
            </w:r>
            <w:r>
              <w:rPr>
                <w:rFonts w:hint="default" w:ascii="Times New Roman" w:hAnsi="Times New Roman" w:eastAsia="宋体" w:cs="Times New Roman"/>
                <w:b w:val="0"/>
                <w:bCs w:val="0"/>
                <w:color w:val="auto"/>
                <w:kern w:val="2"/>
                <w:sz w:val="24"/>
                <w:szCs w:val="24"/>
                <w:vertAlign w:val="subscript"/>
              </w:rPr>
              <w:t>3</w:t>
            </w:r>
            <w:r>
              <w:rPr>
                <w:rFonts w:hint="default" w:ascii="Times New Roman" w:hAnsi="Times New Roman" w:eastAsia="宋体" w:cs="Times New Roman"/>
                <w:b w:val="0"/>
                <w:bCs w:val="0"/>
                <w:color w:val="auto"/>
                <w:kern w:val="2"/>
                <w:sz w:val="24"/>
                <w:szCs w:val="24"/>
              </w:rPr>
              <w:t>污染主要发生在5</w:t>
            </w:r>
            <w:r>
              <w:rPr>
                <w:rFonts w:hint="eastAsia" w:cs="Times New Roman"/>
                <w:b w:val="0"/>
                <w:bCs w:val="0"/>
                <w:color w:val="auto"/>
                <w:kern w:val="2"/>
                <w:sz w:val="24"/>
                <w:szCs w:val="24"/>
                <w:lang w:val="en-US" w:eastAsia="zh-CN"/>
              </w:rPr>
              <w:t>~7</w:t>
            </w:r>
            <w:r>
              <w:rPr>
                <w:rFonts w:hint="default" w:ascii="Times New Roman" w:hAnsi="Times New Roman" w:eastAsia="宋体" w:cs="Times New Roman"/>
                <w:b w:val="0"/>
                <w:bCs w:val="0"/>
                <w:color w:val="auto"/>
                <w:kern w:val="2"/>
                <w:sz w:val="24"/>
                <w:szCs w:val="24"/>
              </w:rPr>
              <w:t>月，气温高和光照强的春夏季节。</w:t>
            </w:r>
            <w:r>
              <w:rPr>
                <w:rFonts w:hint="default" w:ascii="Times New Roman" w:hAnsi="Times New Roman" w:eastAsia="宋体" w:cs="Times New Roman"/>
                <w:sz w:val="24"/>
                <w:szCs w:val="24"/>
              </w:rPr>
              <w:t>臭氧污染主要与挥发性有机物和汽车尾气中的二氧化氮有关。</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cs="Times New Roman"/>
                <w:kern w:val="0"/>
                <w:sz w:val="24"/>
                <w:szCs w:val="24"/>
                <w:highlight w:val="none"/>
                <w:lang w:eastAsia="zh-CN"/>
              </w:rPr>
            </w:pPr>
            <w:r>
              <w:rPr>
                <w:rFonts w:hint="default" w:ascii="Times New Roman" w:hAnsi="Times New Roman" w:eastAsia="宋体" w:cs="Times New Roman"/>
                <w:kern w:val="0"/>
                <w:sz w:val="24"/>
                <w:szCs w:val="24"/>
                <w:highlight w:val="none"/>
              </w:rPr>
              <w:t>承德市</w:t>
            </w:r>
            <w:r>
              <w:rPr>
                <w:rFonts w:hint="eastAsia" w:cs="Times New Roman"/>
                <w:kern w:val="0"/>
                <w:sz w:val="24"/>
                <w:szCs w:val="24"/>
                <w:highlight w:val="none"/>
                <w:lang w:eastAsia="zh-CN"/>
              </w:rPr>
              <w:t>以打造华北最优的空气质量为目标，印发实施《承德市</w:t>
            </w:r>
            <w:r>
              <w:rPr>
                <w:rFonts w:hint="eastAsia" w:cs="Times New Roman"/>
                <w:kern w:val="0"/>
                <w:sz w:val="24"/>
                <w:szCs w:val="24"/>
                <w:highlight w:val="none"/>
                <w:lang w:val="en-US" w:eastAsia="zh-CN"/>
              </w:rPr>
              <w:t>2019年大气污染综合治理工作方案</w:t>
            </w:r>
            <w:r>
              <w:rPr>
                <w:rFonts w:hint="eastAsia" w:cs="Times New Roman"/>
                <w:kern w:val="0"/>
                <w:sz w:val="24"/>
                <w:szCs w:val="24"/>
                <w:highlight w:val="none"/>
                <w:lang w:eastAsia="zh-CN"/>
              </w:rPr>
              <w:t>》，聚焦重点污染因素和季节污染物特征，以“减煤、治企、控车、抑尘”为重点，推进了春季百日攻坚、夏季大会战和秋冬季攻坚行动，空气质量达到历史同期最好水平。一是狠抓燃煤污染治理，二是狠抓工业企业污染治理，三是狠抓机动车污染治理，四是狠抓扬尘污染治理，五是加强通报预警。</w:t>
            </w:r>
          </w:p>
          <w:p>
            <w:pPr>
              <w:pStyle w:val="3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hint="default" w:ascii="Times New Roman" w:hAnsi="Times New Roman" w:eastAsia="宋体" w:cs="Times New Roman"/>
                <w:b/>
                <w:bCs w:val="0"/>
                <w:color w:val="auto"/>
                <w:sz w:val="24"/>
              </w:rPr>
            </w:pPr>
            <w:r>
              <w:rPr>
                <w:rFonts w:hint="eastAsia" w:cs="Times New Roman"/>
                <w:b/>
                <w:bCs w:val="0"/>
                <w:color w:val="auto"/>
                <w:sz w:val="24"/>
                <w:lang w:val="en-US" w:eastAsia="zh-CN"/>
              </w:rPr>
              <w:t>2</w:t>
            </w:r>
            <w:r>
              <w:rPr>
                <w:rFonts w:hint="default" w:ascii="Times New Roman" w:hAnsi="Times New Roman" w:eastAsia="宋体" w:cs="Times New Roman"/>
                <w:b/>
                <w:bCs w:val="0"/>
                <w:color w:val="auto"/>
                <w:sz w:val="24"/>
                <w:lang w:val="en-US" w:eastAsia="zh-CN"/>
              </w:rPr>
              <w:t>、</w:t>
            </w:r>
            <w:r>
              <w:rPr>
                <w:rFonts w:hint="default" w:ascii="Times New Roman" w:hAnsi="Times New Roman" w:eastAsia="宋体" w:cs="Times New Roman"/>
                <w:b/>
                <w:bCs w:val="0"/>
                <w:color w:val="auto"/>
                <w:sz w:val="24"/>
              </w:rPr>
              <w:t>声环境质量</w:t>
            </w:r>
            <w:bookmarkEnd w:id="2"/>
            <w:bookmarkEnd w:id="3"/>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lang w:val="en-US" w:eastAsia="zh-CN"/>
              </w:rPr>
            </w:pPr>
            <w:bookmarkStart w:id="4" w:name="_Toc497507373"/>
            <w:r>
              <w:rPr>
                <w:rFonts w:hint="default" w:eastAsia="宋体"/>
                <w:color w:val="auto"/>
                <w:sz w:val="24"/>
                <w:szCs w:val="24"/>
                <w:lang w:val="en-US" w:eastAsia="zh-CN"/>
              </w:rPr>
              <w:t>根据《20</w:t>
            </w:r>
            <w:r>
              <w:rPr>
                <w:rFonts w:hint="eastAsia"/>
                <w:color w:val="auto"/>
                <w:sz w:val="24"/>
                <w:szCs w:val="24"/>
                <w:lang w:val="en-US" w:eastAsia="zh-CN"/>
              </w:rPr>
              <w:t>20</w:t>
            </w:r>
            <w:r>
              <w:rPr>
                <w:rFonts w:hint="default" w:eastAsia="宋体"/>
                <w:color w:val="auto"/>
                <w:sz w:val="24"/>
                <w:szCs w:val="24"/>
                <w:lang w:val="en-US" w:eastAsia="zh-CN"/>
              </w:rPr>
              <w:t>年承德市环境状况公报》，20</w:t>
            </w:r>
            <w:r>
              <w:rPr>
                <w:rFonts w:hint="eastAsia"/>
                <w:color w:val="auto"/>
                <w:sz w:val="24"/>
                <w:szCs w:val="24"/>
                <w:lang w:val="en-US" w:eastAsia="zh-CN"/>
              </w:rPr>
              <w:t>20</w:t>
            </w:r>
            <w:r>
              <w:rPr>
                <w:rFonts w:hint="default" w:eastAsia="宋体"/>
                <w:color w:val="auto"/>
                <w:sz w:val="24"/>
                <w:szCs w:val="24"/>
                <w:lang w:val="en-US" w:eastAsia="zh-CN"/>
              </w:rPr>
              <w:t>年各类功能区噪声按照国家《声环境质量标准》（GB3096-2008）标准评价，全年声环境质量各类功能区</w:t>
            </w:r>
            <w:r>
              <w:rPr>
                <w:rFonts w:hint="eastAsia" w:eastAsia="宋体"/>
                <w:color w:val="auto"/>
                <w:sz w:val="24"/>
                <w:szCs w:val="24"/>
                <w:lang w:val="en-US" w:eastAsia="zh-CN"/>
              </w:rPr>
              <w:t>均</w:t>
            </w:r>
            <w:r>
              <w:rPr>
                <w:rFonts w:hint="default" w:eastAsia="宋体"/>
                <w:color w:val="auto"/>
                <w:sz w:val="24"/>
                <w:szCs w:val="24"/>
                <w:lang w:val="en-US" w:eastAsia="zh-CN"/>
              </w:rPr>
              <w:t>达到国家功能区标准。</w:t>
            </w:r>
            <w:r>
              <w:rPr>
                <w:rFonts w:hint="eastAsia"/>
                <w:color w:val="auto"/>
                <w:sz w:val="24"/>
                <w:szCs w:val="24"/>
                <w:lang w:val="en-US" w:eastAsia="zh-CN"/>
              </w:rPr>
              <w:t>与2019年相比，1类区、2类区、3类区、4类区昼间噪声等效声级均值有所下降。</w:t>
            </w:r>
          </w:p>
          <w:p>
            <w:pPr>
              <w:pStyle w:val="3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hint="default" w:ascii="Times New Roman" w:hAnsi="Times New Roman" w:eastAsia="宋体" w:cs="Times New Roman"/>
                <w:b/>
                <w:bCs w:val="0"/>
                <w:color w:val="auto"/>
                <w:sz w:val="24"/>
              </w:rPr>
            </w:pPr>
            <w:r>
              <w:rPr>
                <w:rFonts w:hint="eastAsia" w:cs="Times New Roman"/>
                <w:b/>
                <w:bCs w:val="0"/>
                <w:color w:val="auto"/>
                <w:sz w:val="24"/>
                <w:lang w:val="en-US" w:eastAsia="zh-CN"/>
              </w:rPr>
              <w:t>3</w:t>
            </w:r>
            <w:r>
              <w:rPr>
                <w:rFonts w:hint="default" w:ascii="Times New Roman" w:hAnsi="Times New Roman" w:eastAsia="宋体" w:cs="Times New Roman"/>
                <w:b/>
                <w:bCs w:val="0"/>
                <w:color w:val="auto"/>
                <w:sz w:val="24"/>
                <w:lang w:val="en-US" w:eastAsia="zh-CN"/>
              </w:rPr>
              <w:t>、</w:t>
            </w:r>
            <w:r>
              <w:rPr>
                <w:rFonts w:hint="default" w:ascii="Times New Roman" w:hAnsi="Times New Roman" w:eastAsia="宋体" w:cs="Times New Roman"/>
                <w:b/>
                <w:bCs w:val="0"/>
                <w:color w:val="auto"/>
                <w:sz w:val="24"/>
              </w:rPr>
              <w:t>水环境质量</w:t>
            </w:r>
            <w:bookmarkEnd w:id="4"/>
          </w:p>
          <w:p>
            <w:pPr>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sz w:val="24"/>
              </w:rPr>
            </w:pPr>
            <w:bookmarkStart w:id="5" w:name="_Toc497507374"/>
            <w:r>
              <w:rPr>
                <w:rFonts w:hint="default" w:ascii="Times New Roman" w:hAnsi="Times New Roman" w:eastAsia="宋体" w:cs="Times New Roman"/>
                <w:color w:val="auto"/>
                <w:sz w:val="24"/>
              </w:rPr>
              <w:t>①地表水环境质量</w:t>
            </w:r>
          </w:p>
          <w:p>
            <w:pPr>
              <w:pageBreakBefore w:val="0"/>
              <w:widowControl w:val="0"/>
              <w:kinsoku/>
              <w:wordWrap/>
              <w:overflowPunct/>
              <w:topLinePunct w:val="0"/>
              <w:bidi w:val="0"/>
              <w:adjustRightInd/>
              <w:snapToGrid/>
              <w:spacing w:line="500" w:lineRule="exact"/>
              <w:ind w:firstLine="480" w:firstLineChars="200"/>
              <w:jc w:val="left"/>
              <w:textAlignment w:val="auto"/>
              <w:rPr>
                <w:rFonts w:hint="default"/>
                <w:color w:val="auto"/>
              </w:rPr>
            </w:pPr>
            <w:r>
              <w:rPr>
                <w:color w:val="auto"/>
                <w:sz w:val="24"/>
              </w:rPr>
              <w:t>将军关石河属蓟运河系泃河支流，处于海子水库上游，距离海子水库16公里，主河道纵坡度陡，洪水源短流急、暴涨暴落，历年最大洪水出现时间多为7月下旬至8月上旬。泃河发源于河北兴隆县将军关外的茅山、青灰岭，流经蓟县、平谷县、三河县故城，由三河县桥头村进入宝坻县，而后沿着蓟县、宝坻区向东流至张古庄与州河相汇。全长206km，流域面积1712km</w:t>
            </w:r>
            <w:r>
              <w:rPr>
                <w:color w:val="auto"/>
                <w:sz w:val="24"/>
                <w:vertAlign w:val="superscript"/>
              </w:rPr>
              <w:t>2</w:t>
            </w:r>
            <w:r>
              <w:rPr>
                <w:color w:val="auto"/>
                <w:sz w:val="24"/>
              </w:rPr>
              <w:t>。陡子峪境内泃河长5.3km，河道纵坡22.6‰。</w:t>
            </w:r>
          </w:p>
          <w:p>
            <w:pPr>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②地下水环境质量</w:t>
            </w:r>
          </w:p>
          <w:p>
            <w:pPr>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本项目周围区域工业企业较少，地下水水质良好。</w:t>
            </w:r>
          </w:p>
          <w:p>
            <w:pPr>
              <w:pStyle w:val="3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hint="default" w:ascii="Times New Roman" w:hAnsi="Times New Roman" w:eastAsia="宋体" w:cs="Times New Roman"/>
                <w:b/>
                <w:bCs/>
                <w:sz w:val="24"/>
              </w:rPr>
            </w:pPr>
            <w:r>
              <w:rPr>
                <w:rFonts w:hint="eastAsia" w:cs="Times New Roman"/>
                <w:b/>
                <w:bCs/>
                <w:sz w:val="24"/>
                <w:lang w:val="en-US" w:eastAsia="zh-CN"/>
              </w:rPr>
              <w:t>4</w:t>
            </w:r>
            <w:r>
              <w:rPr>
                <w:rFonts w:hint="default" w:ascii="Times New Roman" w:hAnsi="Times New Roman" w:eastAsia="宋体" w:cs="Times New Roman"/>
                <w:b/>
                <w:bCs/>
                <w:sz w:val="24"/>
                <w:lang w:val="en-US" w:eastAsia="zh-CN"/>
              </w:rPr>
              <w:t>、</w:t>
            </w:r>
            <w:r>
              <w:rPr>
                <w:rFonts w:hint="default" w:ascii="Times New Roman" w:hAnsi="Times New Roman" w:eastAsia="宋体" w:cs="Times New Roman"/>
                <w:b/>
                <w:bCs/>
                <w:sz w:val="24"/>
              </w:rPr>
              <w:t>生态环境质量</w:t>
            </w:r>
            <w:bookmarkEnd w:id="5"/>
          </w:p>
          <w:p>
            <w:pPr>
              <w:pageBreakBefore w:val="0"/>
              <w:widowControl w:val="0"/>
              <w:kinsoku/>
              <w:wordWrap/>
              <w:overflowPunct/>
              <w:topLinePunct w:val="0"/>
              <w:autoSpaceDE/>
              <w:autoSpaceDN/>
              <w:bidi w:val="0"/>
              <w:adjustRightInd/>
              <w:snapToGrid/>
              <w:spacing w:line="500" w:lineRule="exact"/>
              <w:ind w:firstLine="480" w:firstLineChars="200"/>
              <w:jc w:val="left"/>
              <w:textAlignment w:val="auto"/>
              <w:rPr>
                <w:sz w:val="24"/>
                <w:szCs w:val="24"/>
              </w:rPr>
            </w:pPr>
            <w:r>
              <w:rPr>
                <w:rFonts w:hint="default" w:ascii="Times New Roman" w:hAnsi="Times New Roman" w:eastAsia="宋体" w:cs="Times New Roman"/>
                <w:sz w:val="24"/>
              </w:rPr>
              <w:t>项目区域</w:t>
            </w:r>
            <w:r>
              <w:rPr>
                <w:rFonts w:hint="default" w:ascii="Times New Roman" w:hAnsi="Times New Roman" w:eastAsia="宋体" w:cs="Times New Roman"/>
                <w:sz w:val="24"/>
                <w:lang w:eastAsia="zh-CN"/>
              </w:rPr>
              <w:t>均</w:t>
            </w:r>
            <w:r>
              <w:rPr>
                <w:rFonts w:hint="default" w:ascii="Times New Roman" w:hAnsi="Times New Roman" w:eastAsia="宋体" w:cs="Times New Roman"/>
                <w:sz w:val="24"/>
              </w:rPr>
              <w:t>为山区农村环境，</w:t>
            </w:r>
            <w:r>
              <w:rPr>
                <w:rFonts w:hint="eastAsia" w:ascii="Times New Roman" w:hAnsi="Times New Roman" w:eastAsia="宋体" w:cs="Times New Roman"/>
                <w:sz w:val="24"/>
                <w:lang w:eastAsia="zh-CN"/>
              </w:rPr>
              <w:t>厂</w:t>
            </w:r>
            <w:r>
              <w:rPr>
                <w:rFonts w:hint="default" w:ascii="Times New Roman" w:hAnsi="Times New Roman" w:eastAsia="宋体" w:cs="Times New Roman"/>
                <w:sz w:val="24"/>
              </w:rPr>
              <w:t>区周围为</w:t>
            </w:r>
            <w:r>
              <w:rPr>
                <w:rFonts w:hint="default" w:ascii="Times New Roman" w:hAnsi="Times New Roman" w:eastAsia="宋体" w:cs="Times New Roman"/>
                <w:sz w:val="24"/>
                <w:lang w:eastAsia="zh-CN"/>
              </w:rPr>
              <w:t>山坡</w:t>
            </w:r>
            <w:r>
              <w:rPr>
                <w:rFonts w:hint="default" w:ascii="Times New Roman" w:hAnsi="Times New Roman" w:eastAsia="宋体" w:cs="Times New Roman"/>
                <w:color w:val="000000"/>
                <w:sz w:val="24"/>
              </w:rPr>
              <w:t>地</w:t>
            </w:r>
            <w:r>
              <w:rPr>
                <w:rFonts w:hint="default" w:ascii="Times New Roman" w:hAnsi="Times New Roman" w:eastAsia="宋体" w:cs="Times New Roman"/>
                <w:color w:val="000000"/>
                <w:sz w:val="24"/>
                <w:lang w:eastAsia="zh-CN"/>
              </w:rPr>
              <w:t>及空地</w:t>
            </w:r>
            <w:r>
              <w:rPr>
                <w:rFonts w:hint="default" w:ascii="Times New Roman" w:hAnsi="Times New Roman" w:eastAsia="宋体" w:cs="Times New Roman"/>
                <w:sz w:val="24"/>
              </w:rPr>
              <w:t>，区域内山体表层植被覆盖率较好，主要植被为灌木及杂草，生态环境质量较好</w:t>
            </w:r>
            <w:r>
              <w:rPr>
                <w:rFonts w:hint="default" w:ascii="Times New Roman" w:hAnsi="Times New Roman" w:eastAsia="宋体" w:cs="Times New Roman"/>
                <w:sz w:val="24"/>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399" w:hRule="atLeast"/>
        </w:trPr>
        <w:tc>
          <w:tcPr>
            <w:tcW w:w="799" w:type="dxa"/>
            <w:tcBorders>
              <w:top w:val="single" w:color="000000" w:sz="4" w:space="0"/>
              <w:bottom w:val="single" w:color="000000" w:sz="4" w:space="0"/>
              <w:right w:val="single" w:color="000000" w:sz="4" w:space="0"/>
            </w:tcBorders>
            <w:vAlign w:val="center"/>
          </w:tcPr>
          <w:p>
            <w:pPr>
              <w:pStyle w:val="26"/>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sz w:val="24"/>
                <w:szCs w:val="24"/>
              </w:rPr>
            </w:pPr>
            <w:r>
              <w:rPr>
                <w:sz w:val="24"/>
                <w:szCs w:val="24"/>
              </w:rPr>
              <w:t>环境保护目标</w:t>
            </w:r>
          </w:p>
        </w:tc>
        <w:tc>
          <w:tcPr>
            <w:tcW w:w="8190" w:type="dxa"/>
            <w:tcBorders>
              <w:top w:val="single" w:color="000000" w:sz="4" w:space="0"/>
              <w:left w:val="single" w:color="000000" w:sz="4" w:space="0"/>
              <w:bottom w:val="single" w:color="000000" w:sz="4" w:space="0"/>
            </w:tcBorders>
            <w:vAlign w:val="center"/>
          </w:tcPr>
          <w:p>
            <w:pPr>
              <w:pStyle w:val="24"/>
              <w:keepLines w:val="0"/>
              <w:pageBreakBefore w:val="0"/>
              <w:kinsoku/>
              <w:wordWrap/>
              <w:overflowPunct/>
              <w:topLinePunct w:val="0"/>
              <w:autoSpaceDE w:val="0"/>
              <w:autoSpaceDN w:val="0"/>
              <w:bidi w:val="0"/>
              <w:adjustRightInd/>
              <w:snapToGrid/>
              <w:spacing w:before="0" w:line="500" w:lineRule="exact"/>
              <w:ind w:left="0" w:leftChars="0" w:firstLine="480" w:firstLineChars="200"/>
              <w:jc w:val="left"/>
              <w:textAlignment w:val="auto"/>
              <w:rPr>
                <w:color w:val="FF0000"/>
              </w:rPr>
            </w:pPr>
            <w:r>
              <w:rPr>
                <w:rFonts w:hint="eastAsia"/>
              </w:rPr>
              <w:t>通过现场调查了解，本项目厂界</w:t>
            </w:r>
            <w:r>
              <w:rPr>
                <w:rFonts w:hint="eastAsia"/>
                <w:color w:val="000000" w:themeColor="text1"/>
                <w14:textFill>
                  <w14:solidFill>
                    <w14:schemeClr w14:val="tx1"/>
                  </w14:solidFill>
                </w14:textFill>
              </w:rPr>
              <w:t>外5</w:t>
            </w:r>
            <w:r>
              <w:rPr>
                <w:color w:val="000000" w:themeColor="text1"/>
                <w14:textFill>
                  <w14:solidFill>
                    <w14:schemeClr w14:val="tx1"/>
                  </w14:solidFill>
                </w14:textFill>
              </w:rPr>
              <w:t>00m范围内</w:t>
            </w:r>
            <w:r>
              <w:rPr>
                <w:rFonts w:hint="eastAsia"/>
                <w:color w:val="000000" w:themeColor="text1"/>
                <w14:textFill>
                  <w14:solidFill>
                    <w14:schemeClr w14:val="tx1"/>
                  </w14:solidFill>
                </w14:textFill>
              </w:rPr>
              <w:t>无自然保护区、风景名胜区等，主要环境保护目标为</w:t>
            </w:r>
            <w:r>
              <w:rPr>
                <w:rFonts w:hint="eastAsia"/>
                <w:color w:val="000000" w:themeColor="text1"/>
                <w:lang w:eastAsia="zh-CN"/>
                <w14:textFill>
                  <w14:solidFill>
                    <w14:schemeClr w14:val="tx1"/>
                  </w14:solidFill>
                </w14:textFill>
              </w:rPr>
              <w:t>沥水沟村</w:t>
            </w:r>
            <w:r>
              <w:rPr>
                <w:rFonts w:hint="eastAsia"/>
                <w:color w:val="000000" w:themeColor="text1"/>
                <w14:textFill>
                  <w14:solidFill>
                    <w14:schemeClr w14:val="tx1"/>
                  </w14:solidFill>
                </w14:textFill>
              </w:rPr>
              <w:t>居民区</w:t>
            </w:r>
            <w:r>
              <w:rPr>
                <w:rFonts w:hint="eastAsia"/>
                <w:color w:val="000000" w:themeColor="text1"/>
                <w:lang w:eastAsia="zh-CN"/>
                <w14:textFill>
                  <w14:solidFill>
                    <w14:schemeClr w14:val="tx1"/>
                  </w14:solidFill>
                </w14:textFill>
              </w:rPr>
              <w:t>、将军关石河</w:t>
            </w:r>
            <w:r>
              <w:rPr>
                <w:rFonts w:hint="eastAsia"/>
              </w:rPr>
              <w:t>。环保目标如下表所示，其分布示意图见</w:t>
            </w:r>
            <w:r>
              <w:rPr>
                <w:rFonts w:hint="eastAsia"/>
                <w:color w:val="000000" w:themeColor="text1"/>
                <w14:textFill>
                  <w14:solidFill>
                    <w14:schemeClr w14:val="tx1"/>
                  </w14:solidFill>
                </w14:textFill>
              </w:rPr>
              <w:t>附图</w:t>
            </w:r>
            <w:r>
              <w:rPr>
                <w:rFonts w:hint="eastAsia"/>
              </w:rPr>
              <w:t>。</w:t>
            </w:r>
          </w:p>
          <w:p>
            <w:pPr>
              <w:pStyle w:val="29"/>
              <w:keepLines w:val="0"/>
              <w:pageBreakBefore w:val="0"/>
              <w:numPr>
                <w:ilvl w:val="0"/>
                <w:numId w:val="0"/>
              </w:numPr>
              <w:kinsoku/>
              <w:wordWrap/>
              <w:overflowPunct/>
              <w:topLinePunct w:val="0"/>
              <w:autoSpaceDE w:val="0"/>
              <w:autoSpaceDN w:val="0"/>
              <w:bidi w:val="0"/>
              <w:adjustRightInd/>
              <w:snapToGrid/>
              <w:spacing w:before="0" w:beforeLines="0" w:line="500" w:lineRule="exact"/>
              <w:ind w:leftChars="200" w:right="0" w:rightChars="0"/>
              <w:textAlignment w:val="auto"/>
              <w:rPr>
                <w:b/>
                <w:bCs/>
                <w:color w:val="0000FF"/>
                <w:sz w:val="21"/>
                <w:szCs w:val="21"/>
              </w:rPr>
            </w:pPr>
            <w:r>
              <w:rPr>
                <w:rFonts w:hint="eastAsia"/>
                <w:b/>
                <w:bCs/>
                <w:color w:val="auto"/>
                <w:sz w:val="21"/>
                <w:szCs w:val="21"/>
                <w:lang w:eastAsia="zh-CN"/>
              </w:rPr>
              <w:t>表</w:t>
            </w:r>
            <w:r>
              <w:rPr>
                <w:rFonts w:hint="eastAsia"/>
                <w:b/>
                <w:bCs/>
                <w:color w:val="auto"/>
                <w:sz w:val="21"/>
                <w:szCs w:val="21"/>
                <w:lang w:val="en-US" w:eastAsia="zh-CN"/>
              </w:rPr>
              <w:t xml:space="preserve">3-7  </w:t>
            </w:r>
            <w:r>
              <w:rPr>
                <w:rFonts w:hint="eastAsia"/>
                <w:b/>
                <w:bCs/>
                <w:color w:val="auto"/>
                <w:sz w:val="21"/>
                <w:szCs w:val="21"/>
              </w:rPr>
              <w:t>环境空气、声环境保护目标一览表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7" w:type="dxa"/>
                <w:bottom w:w="0" w:type="dxa"/>
                <w:right w:w="17" w:type="dxa"/>
              </w:tblCellMar>
            </w:tblPr>
            <w:tblGrid>
              <w:gridCol w:w="1635"/>
              <w:gridCol w:w="2216"/>
              <w:gridCol w:w="1548"/>
              <w:gridCol w:w="1704"/>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973" w:type="pct"/>
                  <w:shd w:val="clear" w:color="auto" w:fill="auto"/>
                  <w:vAlign w:val="center"/>
                </w:tcPr>
                <w:p>
                  <w:pPr>
                    <w:pStyle w:val="27"/>
                    <w:keepNext/>
                    <w:rPr>
                      <w:b/>
                      <w:bCs/>
                    </w:rPr>
                  </w:pPr>
                  <w:r>
                    <w:rPr>
                      <w:b/>
                      <w:bCs/>
                    </w:rPr>
                    <w:t>名称</w:t>
                  </w:r>
                </w:p>
              </w:tc>
              <w:tc>
                <w:tcPr>
                  <w:tcW w:w="1319" w:type="pct"/>
                  <w:vAlign w:val="center"/>
                </w:tcPr>
                <w:p>
                  <w:pPr>
                    <w:pStyle w:val="27"/>
                    <w:keepNext/>
                    <w:rPr>
                      <w:b/>
                      <w:bCs/>
                    </w:rPr>
                  </w:pPr>
                  <w:r>
                    <w:rPr>
                      <w:rFonts w:hint="eastAsia"/>
                      <w:b/>
                      <w:bCs/>
                    </w:rPr>
                    <w:t>环境功能区</w:t>
                  </w:r>
                </w:p>
              </w:tc>
              <w:tc>
                <w:tcPr>
                  <w:tcW w:w="921" w:type="pct"/>
                  <w:vAlign w:val="center"/>
                </w:tcPr>
                <w:p>
                  <w:pPr>
                    <w:pStyle w:val="27"/>
                    <w:keepNext/>
                    <w:rPr>
                      <w:b/>
                      <w:bCs/>
                    </w:rPr>
                  </w:pPr>
                  <w:r>
                    <w:rPr>
                      <w:rFonts w:hint="eastAsia"/>
                      <w:b/>
                      <w:bCs/>
                    </w:rPr>
                    <w:t>相对</w:t>
                  </w:r>
                  <w:r>
                    <w:rPr>
                      <w:b/>
                      <w:bCs/>
                    </w:rPr>
                    <w:t>厂界方位</w:t>
                  </w:r>
                </w:p>
              </w:tc>
              <w:tc>
                <w:tcPr>
                  <w:tcW w:w="1014" w:type="pct"/>
                  <w:vAlign w:val="center"/>
                </w:tcPr>
                <w:p>
                  <w:pPr>
                    <w:pStyle w:val="27"/>
                    <w:keepNext/>
                    <w:rPr>
                      <w:b/>
                      <w:bCs/>
                    </w:rPr>
                  </w:pPr>
                  <w:r>
                    <w:rPr>
                      <w:rFonts w:hint="eastAsia"/>
                      <w:b/>
                      <w:bCs/>
                    </w:rPr>
                    <w:t>相对厂界</w:t>
                  </w:r>
                  <w:r>
                    <w:rPr>
                      <w:b/>
                      <w:bCs/>
                    </w:rPr>
                    <w:t>距离</w:t>
                  </w:r>
                  <w:r>
                    <w:rPr>
                      <w:rFonts w:hint="eastAsia"/>
                      <w:b/>
                      <w:bCs/>
                    </w:rPr>
                    <w:t>/</w:t>
                  </w:r>
                  <w:r>
                    <w:rPr>
                      <w:b/>
                      <w:bCs/>
                    </w:rPr>
                    <w:t>m</w:t>
                  </w:r>
                </w:p>
              </w:tc>
              <w:tc>
                <w:tcPr>
                  <w:tcW w:w="771" w:type="pct"/>
                  <w:shd w:val="clear" w:color="auto" w:fill="auto"/>
                  <w:vAlign w:val="center"/>
                </w:tcPr>
                <w:p>
                  <w:pPr>
                    <w:pStyle w:val="27"/>
                    <w:keepNext/>
                    <w:rPr>
                      <w:b/>
                      <w:bCs/>
                    </w:rPr>
                  </w:pPr>
                  <w:r>
                    <w:rPr>
                      <w:rFonts w:hint="eastAsia"/>
                      <w:b/>
                      <w:bCs/>
                    </w:rPr>
                    <w:t>保护要素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trHeight w:val="538" w:hRule="atLeast"/>
                <w:jc w:val="center"/>
              </w:trPr>
              <w:tc>
                <w:tcPr>
                  <w:tcW w:w="973" w:type="pct"/>
                  <w:vMerge w:val="restart"/>
                  <w:shd w:val="clear" w:color="auto" w:fill="auto"/>
                  <w:vAlign w:val="center"/>
                </w:tcPr>
                <w:p>
                  <w:pPr>
                    <w:pStyle w:val="27"/>
                    <w:keepNext/>
                    <w:rPr>
                      <w:rFonts w:hint="eastAsia" w:eastAsia="宋体"/>
                      <w:lang w:eastAsia="zh-CN"/>
                    </w:rPr>
                  </w:pPr>
                  <w:r>
                    <w:rPr>
                      <w:rFonts w:hint="eastAsia"/>
                      <w:lang w:eastAsia="zh-CN"/>
                    </w:rPr>
                    <w:t>沥水沟村</w:t>
                  </w:r>
                </w:p>
              </w:tc>
              <w:tc>
                <w:tcPr>
                  <w:tcW w:w="1319" w:type="pct"/>
                  <w:vAlign w:val="center"/>
                </w:tcPr>
                <w:p>
                  <w:pPr>
                    <w:pStyle w:val="27"/>
                    <w:keepNext/>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类声环境功能区、二类环境空气功能区</w:t>
                  </w:r>
                </w:p>
              </w:tc>
              <w:tc>
                <w:tcPr>
                  <w:tcW w:w="921" w:type="pct"/>
                  <w:vAlign w:val="center"/>
                </w:tcPr>
                <w:p>
                  <w:pPr>
                    <w:pStyle w:val="27"/>
                    <w:keepNex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西北</w:t>
                  </w:r>
                  <w:r>
                    <w:rPr>
                      <w:rFonts w:hint="eastAsia"/>
                      <w:color w:val="000000" w:themeColor="text1"/>
                      <w14:textFill>
                        <w14:solidFill>
                          <w14:schemeClr w14:val="tx1"/>
                        </w14:solidFill>
                      </w14:textFill>
                    </w:rPr>
                    <w:t>侧</w:t>
                  </w:r>
                </w:p>
              </w:tc>
              <w:tc>
                <w:tcPr>
                  <w:tcW w:w="1014" w:type="pct"/>
                  <w:vAlign w:val="center"/>
                </w:tcPr>
                <w:p>
                  <w:pPr>
                    <w:pStyle w:val="27"/>
                    <w:keepNext/>
                    <w:rPr>
                      <w:rFonts w:hint="default" w:eastAsia="宋体"/>
                      <w:color w:val="auto"/>
                      <w:lang w:val="en-US" w:eastAsia="zh-CN"/>
                    </w:rPr>
                  </w:pPr>
                  <w:r>
                    <w:rPr>
                      <w:rFonts w:hint="eastAsia"/>
                      <w:color w:val="auto"/>
                      <w:lang w:val="en-US" w:eastAsia="zh-CN"/>
                    </w:rPr>
                    <w:t>52</w:t>
                  </w:r>
                </w:p>
              </w:tc>
              <w:tc>
                <w:tcPr>
                  <w:tcW w:w="771" w:type="pct"/>
                  <w:shd w:val="clear" w:color="auto" w:fill="auto"/>
                  <w:vAlign w:val="center"/>
                </w:tcPr>
                <w:p>
                  <w:pPr>
                    <w:pStyle w:val="27"/>
                    <w:keepNext/>
                    <w:rPr>
                      <w:color w:val="000000" w:themeColor="text1"/>
                      <w14:textFill>
                        <w14:solidFill>
                          <w14:schemeClr w14:val="tx1"/>
                        </w14:solidFill>
                      </w14:textFill>
                    </w:rPr>
                  </w:pPr>
                  <w:r>
                    <w:rPr>
                      <w:rFonts w:hint="eastAsia"/>
                      <w:color w:val="000000" w:themeColor="text1"/>
                      <w14:textFill>
                        <w14:solidFill>
                          <w14:schemeClr w14:val="tx1"/>
                        </w14:solidFill>
                      </w14:textFill>
                    </w:rPr>
                    <w:t>声环境、环境空气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trHeight w:val="538" w:hRule="atLeast"/>
                <w:jc w:val="center"/>
              </w:trPr>
              <w:tc>
                <w:tcPr>
                  <w:tcW w:w="973" w:type="pct"/>
                  <w:vMerge w:val="continue"/>
                  <w:shd w:val="clear" w:color="auto" w:fill="auto"/>
                  <w:vAlign w:val="center"/>
                </w:tcPr>
                <w:p>
                  <w:pPr>
                    <w:pStyle w:val="27"/>
                    <w:keepNext/>
                    <w:rPr>
                      <w:rFonts w:hint="eastAsia"/>
                      <w:lang w:eastAsia="zh-CN"/>
                    </w:rPr>
                  </w:pPr>
                </w:p>
              </w:tc>
              <w:tc>
                <w:tcPr>
                  <w:tcW w:w="1319" w:type="pct"/>
                  <w:vAlign w:val="center"/>
                </w:tcPr>
                <w:p>
                  <w:pPr>
                    <w:pStyle w:val="27"/>
                    <w:keepNext/>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类声环境功能区、二类环境空气功能区</w:t>
                  </w:r>
                </w:p>
              </w:tc>
              <w:tc>
                <w:tcPr>
                  <w:tcW w:w="921" w:type="pct"/>
                  <w:vAlign w:val="center"/>
                </w:tcPr>
                <w:p>
                  <w:pPr>
                    <w:pStyle w:val="27"/>
                    <w:keepNex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西侧</w:t>
                  </w:r>
                </w:p>
              </w:tc>
              <w:tc>
                <w:tcPr>
                  <w:tcW w:w="1014" w:type="pct"/>
                  <w:vAlign w:val="center"/>
                </w:tcPr>
                <w:p>
                  <w:pPr>
                    <w:pStyle w:val="27"/>
                    <w:keepNext/>
                    <w:rPr>
                      <w:rFonts w:hint="default" w:eastAsia="宋体"/>
                      <w:color w:val="auto"/>
                      <w:lang w:val="en-US" w:eastAsia="zh-CN"/>
                    </w:rPr>
                  </w:pPr>
                  <w:r>
                    <w:rPr>
                      <w:rFonts w:hint="eastAsia"/>
                      <w:color w:val="auto"/>
                      <w:lang w:val="en-US" w:eastAsia="zh-CN"/>
                    </w:rPr>
                    <w:t>48</w:t>
                  </w:r>
                </w:p>
              </w:tc>
              <w:tc>
                <w:tcPr>
                  <w:tcW w:w="771" w:type="pct"/>
                  <w:shd w:val="clear" w:color="auto" w:fill="auto"/>
                  <w:vAlign w:val="center"/>
                </w:tcPr>
                <w:p>
                  <w:pPr>
                    <w:pStyle w:val="27"/>
                    <w:keepNex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声环境、环境空气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trHeight w:val="548" w:hRule="atLeast"/>
                <w:jc w:val="center"/>
              </w:trPr>
              <w:tc>
                <w:tcPr>
                  <w:tcW w:w="973" w:type="pct"/>
                  <w:vMerge w:val="continue"/>
                  <w:shd w:val="clear" w:color="auto" w:fill="auto"/>
                  <w:vAlign w:val="center"/>
                </w:tcPr>
                <w:p>
                  <w:pPr>
                    <w:pStyle w:val="27"/>
                    <w:keepNext/>
                    <w:rPr>
                      <w:rFonts w:hint="eastAsia"/>
                      <w:lang w:eastAsia="zh-CN"/>
                    </w:rPr>
                  </w:pPr>
                </w:p>
              </w:tc>
              <w:tc>
                <w:tcPr>
                  <w:tcW w:w="1319" w:type="pct"/>
                  <w:vAlign w:val="center"/>
                </w:tcPr>
                <w:p>
                  <w:pPr>
                    <w:pStyle w:val="27"/>
                    <w:keepNext/>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类声环境功能区、二类环境空气功能区</w:t>
                  </w:r>
                </w:p>
              </w:tc>
              <w:tc>
                <w:tcPr>
                  <w:tcW w:w="921" w:type="pct"/>
                  <w:vAlign w:val="center"/>
                </w:tcPr>
                <w:p>
                  <w:pPr>
                    <w:pStyle w:val="27"/>
                    <w:keepNex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西侧</w:t>
                  </w:r>
                </w:p>
              </w:tc>
              <w:tc>
                <w:tcPr>
                  <w:tcW w:w="1014" w:type="pct"/>
                  <w:vAlign w:val="center"/>
                </w:tcPr>
                <w:p>
                  <w:pPr>
                    <w:pStyle w:val="27"/>
                    <w:keepNext/>
                    <w:rPr>
                      <w:rFonts w:hint="default" w:eastAsia="宋体"/>
                      <w:color w:val="auto"/>
                      <w:lang w:val="en-US" w:eastAsia="zh-CN"/>
                    </w:rPr>
                  </w:pPr>
                  <w:r>
                    <w:rPr>
                      <w:rFonts w:hint="eastAsia"/>
                      <w:color w:val="auto"/>
                      <w:lang w:val="en-US" w:eastAsia="zh-CN"/>
                    </w:rPr>
                    <w:t>83</w:t>
                  </w:r>
                </w:p>
              </w:tc>
              <w:tc>
                <w:tcPr>
                  <w:tcW w:w="771" w:type="pct"/>
                  <w:shd w:val="clear" w:color="auto" w:fill="auto"/>
                  <w:vAlign w:val="center"/>
                </w:tcPr>
                <w:p>
                  <w:pPr>
                    <w:pStyle w:val="27"/>
                    <w:keepNex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声环境、环境空气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trHeight w:val="548" w:hRule="atLeast"/>
                <w:jc w:val="center"/>
              </w:trPr>
              <w:tc>
                <w:tcPr>
                  <w:tcW w:w="973" w:type="pct"/>
                  <w:shd w:val="clear" w:color="auto" w:fill="auto"/>
                  <w:vAlign w:val="center"/>
                </w:tcPr>
                <w:p>
                  <w:pPr>
                    <w:pStyle w:val="27"/>
                    <w:keepNext/>
                    <w:rPr>
                      <w:rFonts w:hint="eastAsia"/>
                      <w:lang w:eastAsia="zh-CN"/>
                    </w:rPr>
                  </w:pPr>
                  <w:r>
                    <w:rPr>
                      <w:rFonts w:hint="eastAsia"/>
                      <w:lang w:eastAsia="zh-CN"/>
                    </w:rPr>
                    <w:t>小冷沟</w:t>
                  </w:r>
                </w:p>
              </w:tc>
              <w:tc>
                <w:tcPr>
                  <w:tcW w:w="1319" w:type="pct"/>
                  <w:vAlign w:val="center"/>
                </w:tcPr>
                <w:p>
                  <w:pPr>
                    <w:pStyle w:val="27"/>
                    <w:keepNex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类声环境功能区、二类环境空气功能区</w:t>
                  </w:r>
                </w:p>
              </w:tc>
              <w:tc>
                <w:tcPr>
                  <w:tcW w:w="921" w:type="pct"/>
                  <w:vAlign w:val="center"/>
                </w:tcPr>
                <w:p>
                  <w:pPr>
                    <w:pStyle w:val="27"/>
                    <w:keepNex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西北</w:t>
                  </w:r>
                  <w:r>
                    <w:rPr>
                      <w:rFonts w:hint="eastAsia"/>
                      <w:color w:val="000000" w:themeColor="text1"/>
                      <w14:textFill>
                        <w14:solidFill>
                          <w14:schemeClr w14:val="tx1"/>
                        </w14:solidFill>
                      </w14:textFill>
                    </w:rPr>
                    <w:t>侧</w:t>
                  </w:r>
                </w:p>
              </w:tc>
              <w:tc>
                <w:tcPr>
                  <w:tcW w:w="1014" w:type="pct"/>
                  <w:vAlign w:val="center"/>
                </w:tcPr>
                <w:p>
                  <w:pPr>
                    <w:pStyle w:val="27"/>
                    <w:keepNext/>
                    <w:rPr>
                      <w:rFonts w:hint="default"/>
                      <w:color w:val="auto"/>
                      <w:lang w:val="en-US" w:eastAsia="zh-CN"/>
                    </w:rPr>
                  </w:pPr>
                  <w:r>
                    <w:rPr>
                      <w:rFonts w:hint="eastAsia"/>
                      <w:color w:val="auto"/>
                      <w:lang w:val="en-US" w:eastAsia="zh-CN"/>
                    </w:rPr>
                    <w:t>431</w:t>
                  </w:r>
                </w:p>
              </w:tc>
              <w:tc>
                <w:tcPr>
                  <w:tcW w:w="771" w:type="pct"/>
                  <w:shd w:val="clear" w:color="auto" w:fill="auto"/>
                  <w:vAlign w:val="center"/>
                </w:tcPr>
                <w:p>
                  <w:pPr>
                    <w:pStyle w:val="27"/>
                    <w:keepNex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声环境、环境空气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trHeight w:val="548" w:hRule="atLeast"/>
                <w:jc w:val="center"/>
              </w:trPr>
              <w:tc>
                <w:tcPr>
                  <w:tcW w:w="973" w:type="pct"/>
                  <w:shd w:val="clear" w:color="auto" w:fill="auto"/>
                  <w:vAlign w:val="center"/>
                </w:tcPr>
                <w:p>
                  <w:pPr>
                    <w:pStyle w:val="27"/>
                    <w:keepNext/>
                    <w:rPr>
                      <w:rFonts w:hint="eastAsia"/>
                      <w:lang w:eastAsia="zh-CN"/>
                    </w:rPr>
                  </w:pPr>
                  <w:r>
                    <w:rPr>
                      <w:rFonts w:hint="eastAsia"/>
                      <w:lang w:eastAsia="zh-CN"/>
                    </w:rPr>
                    <w:t>将军关石河</w:t>
                  </w:r>
                </w:p>
              </w:tc>
              <w:tc>
                <w:tcPr>
                  <w:tcW w:w="1319" w:type="pct"/>
                  <w:vAlign w:val="center"/>
                </w:tcPr>
                <w:p>
                  <w:pPr>
                    <w:pStyle w:val="27"/>
                    <w:keepNext/>
                    <w:rPr>
                      <w:rFonts w:hint="eastAsia"/>
                      <w:color w:val="000000" w:themeColor="text1"/>
                      <w14:textFill>
                        <w14:solidFill>
                          <w14:schemeClr w14:val="tx1"/>
                        </w14:solidFill>
                      </w14:textFill>
                    </w:rPr>
                  </w:pPr>
                  <w:r>
                    <w:rPr>
                      <w:rFonts w:hint="eastAsia"/>
                      <w:sz w:val="21"/>
                      <w:szCs w:val="21"/>
                      <w:lang w:val="en-US" w:eastAsia="zh-CN"/>
                    </w:rPr>
                    <w:t>3</w:t>
                  </w:r>
                  <w:r>
                    <w:rPr>
                      <w:rFonts w:hint="default"/>
                      <w:sz w:val="21"/>
                      <w:szCs w:val="21"/>
                    </w:rPr>
                    <w:t>类</w:t>
                  </w:r>
                  <w:r>
                    <w:rPr>
                      <w:rFonts w:hint="eastAsia"/>
                      <w:sz w:val="21"/>
                      <w:szCs w:val="21"/>
                      <w:lang w:eastAsia="zh-CN"/>
                    </w:rPr>
                    <w:t>地表水</w:t>
                  </w:r>
                  <w:r>
                    <w:rPr>
                      <w:rFonts w:hint="eastAsia"/>
                      <w:color w:val="000000" w:themeColor="text1"/>
                      <w:sz w:val="21"/>
                      <w:szCs w:val="21"/>
                      <w14:textFill>
                        <w14:solidFill>
                          <w14:schemeClr w14:val="tx1"/>
                        </w14:solidFill>
                      </w14:textFill>
                    </w:rPr>
                    <w:t>环境功能区</w:t>
                  </w:r>
                </w:p>
              </w:tc>
              <w:tc>
                <w:tcPr>
                  <w:tcW w:w="921" w:type="pct"/>
                  <w:vAlign w:val="center"/>
                </w:tcPr>
                <w:p>
                  <w:pPr>
                    <w:pStyle w:val="27"/>
                    <w:keepNex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东侧</w:t>
                  </w:r>
                </w:p>
              </w:tc>
              <w:tc>
                <w:tcPr>
                  <w:tcW w:w="1014" w:type="pct"/>
                  <w:vAlign w:val="center"/>
                </w:tcPr>
                <w:p>
                  <w:pPr>
                    <w:pStyle w:val="27"/>
                    <w:keepNext/>
                    <w:rPr>
                      <w:rFonts w:hint="default"/>
                      <w:color w:val="auto"/>
                      <w:lang w:val="en-US" w:eastAsia="zh-CN"/>
                    </w:rPr>
                  </w:pPr>
                  <w:r>
                    <w:rPr>
                      <w:rFonts w:hint="eastAsia"/>
                      <w:color w:val="auto"/>
                      <w:lang w:val="en-US" w:eastAsia="zh-CN"/>
                    </w:rPr>
                    <w:t>20</w:t>
                  </w:r>
                </w:p>
              </w:tc>
              <w:tc>
                <w:tcPr>
                  <w:tcW w:w="771" w:type="pct"/>
                  <w:shd w:val="clear" w:color="auto" w:fill="auto"/>
                  <w:vAlign w:val="center"/>
                </w:tcPr>
                <w:p>
                  <w:pPr>
                    <w:pStyle w:val="27"/>
                    <w:keepNext/>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地表水环境</w:t>
                  </w:r>
                </w:p>
              </w:tc>
            </w:tr>
          </w:tbl>
          <w:p>
            <w:pPr>
              <w:pStyle w:val="26"/>
              <w:keepNext w:val="0"/>
              <w:keepLines w:val="0"/>
              <w:pageBreakBefore w:val="0"/>
              <w:widowControl w:val="0"/>
              <w:kinsoku/>
              <w:wordWrap/>
              <w:overflowPunct/>
              <w:topLinePunct w:val="0"/>
              <w:autoSpaceDE w:val="0"/>
              <w:autoSpaceDN w:val="0"/>
              <w:bidi w:val="0"/>
              <w:adjustRightInd/>
              <w:snapToGrid/>
              <w:spacing w:before="0"/>
              <w:ind w:left="0" w:right="0"/>
              <w:jc w:val="both"/>
              <w:textAlignment w:val="auto"/>
              <w:rPr>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3" w:hRule="atLeast"/>
        </w:trPr>
        <w:tc>
          <w:tcPr>
            <w:tcW w:w="799" w:type="dxa"/>
            <w:tcBorders>
              <w:top w:val="single" w:color="000000" w:sz="4" w:space="0"/>
              <w:bottom w:val="single" w:color="000000" w:sz="4" w:space="0"/>
              <w:right w:val="single" w:color="000000" w:sz="4" w:space="0"/>
            </w:tcBorders>
            <w:vAlign w:val="center"/>
          </w:tcPr>
          <w:p>
            <w:pPr>
              <w:pStyle w:val="26"/>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sz w:val="24"/>
                <w:szCs w:val="24"/>
              </w:rPr>
            </w:pPr>
            <w:r>
              <w:rPr>
                <w:sz w:val="24"/>
                <w:szCs w:val="24"/>
              </w:rPr>
              <w:t>污染物排放控制标准</w:t>
            </w:r>
          </w:p>
        </w:tc>
        <w:tc>
          <w:tcPr>
            <w:tcW w:w="8190" w:type="dxa"/>
            <w:tcBorders>
              <w:top w:val="single" w:color="000000" w:sz="4" w:space="0"/>
              <w:left w:val="single" w:color="000000" w:sz="4" w:space="0"/>
              <w:bottom w:val="single" w:color="000000" w:sz="4" w:space="0"/>
            </w:tcBorders>
            <w:vAlign w:val="center"/>
          </w:tcPr>
          <w:p>
            <w:pPr>
              <w:pStyle w:val="20"/>
              <w:keepNext w:val="0"/>
              <w:keepLines w:val="0"/>
              <w:pageBreakBefore w:val="0"/>
              <w:widowControl w:val="0"/>
              <w:numPr>
                <w:ilvl w:val="0"/>
                <w:numId w:val="0"/>
              </w:numPr>
              <w:kinsoku/>
              <w:wordWrap/>
              <w:overflowPunct/>
              <w:topLinePunct w:val="0"/>
              <w:bidi w:val="0"/>
              <w:snapToGrid/>
              <w:spacing w:line="500" w:lineRule="exact"/>
              <w:textAlignment w:val="auto"/>
              <w:rPr>
                <w:rFonts w:hint="eastAsia"/>
                <w:b/>
                <w:bCs/>
                <w:lang w:eastAsia="zh-CN"/>
              </w:rPr>
            </w:pPr>
            <w:r>
              <w:rPr>
                <w:rFonts w:hint="eastAsia"/>
                <w:b/>
                <w:bCs/>
                <w:lang w:eastAsia="zh-CN"/>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⑴</w:t>
            </w:r>
            <w:r>
              <w:rPr>
                <w:rFonts w:hint="default" w:ascii="Times New Roman" w:hAnsi="Times New Roman" w:eastAsia="宋体" w:cs="Times New Roman"/>
                <w:sz w:val="24"/>
                <w:highlight w:val="none"/>
              </w:rPr>
              <w:t>施工期大气污染物中颗粒物执行《施工场地扬尘排放标准》（DB13/2934-2019）表1扬尘排放浓度限值。</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b/>
                <w:bCs/>
                <w:sz w:val="21"/>
                <w:szCs w:val="21"/>
                <w:highlight w:val="none"/>
              </w:rPr>
            </w:pPr>
            <w:r>
              <w:rPr>
                <w:rFonts w:hint="default"/>
                <w:b/>
                <w:bCs/>
                <w:sz w:val="21"/>
                <w:szCs w:val="21"/>
                <w:highlight w:val="none"/>
              </w:rPr>
              <w:t>表</w:t>
            </w:r>
            <w:r>
              <w:rPr>
                <w:rFonts w:hint="eastAsia"/>
                <w:b/>
                <w:bCs/>
                <w:sz w:val="21"/>
                <w:szCs w:val="21"/>
                <w:highlight w:val="none"/>
                <w:lang w:val="en-US" w:eastAsia="zh-CN"/>
              </w:rPr>
              <w:t xml:space="preserve">3-8  </w:t>
            </w:r>
            <w:r>
              <w:rPr>
                <w:rFonts w:hint="default"/>
                <w:b/>
                <w:bCs/>
                <w:sz w:val="21"/>
                <w:szCs w:val="21"/>
                <w:highlight w:val="none"/>
              </w:rPr>
              <w:t>施工期大气污染物排放标准</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1"/>
              <w:gridCol w:w="4122"/>
              <w:gridCol w:w="2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51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b/>
                      <w:bCs w:val="0"/>
                      <w:kern w:val="21"/>
                      <w:sz w:val="21"/>
                      <w:szCs w:val="24"/>
                      <w:highlight w:val="none"/>
                      <w:lang w:val="zh-CN" w:eastAsia="zh-CN" w:bidi="zh-CN"/>
                    </w:rPr>
                  </w:pPr>
                  <w:r>
                    <w:rPr>
                      <w:rFonts w:hint="default" w:ascii="Times New Roman" w:hAnsi="Times New Roman" w:eastAsia="宋体" w:cs="Times New Roman"/>
                      <w:b/>
                      <w:bCs w:val="0"/>
                      <w:kern w:val="21"/>
                      <w:sz w:val="21"/>
                      <w:szCs w:val="24"/>
                      <w:highlight w:val="none"/>
                      <w:lang w:val="zh-CN" w:eastAsia="zh-CN" w:bidi="zh-CN"/>
                    </w:rPr>
                    <w:t>控制项目</w:t>
                  </w:r>
                </w:p>
              </w:tc>
              <w:tc>
                <w:tcPr>
                  <w:tcW w:w="421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b/>
                      <w:bCs w:val="0"/>
                      <w:kern w:val="21"/>
                      <w:sz w:val="21"/>
                      <w:szCs w:val="24"/>
                      <w:highlight w:val="none"/>
                      <w:lang w:val="zh-CN" w:eastAsia="zh-CN" w:bidi="zh-CN"/>
                    </w:rPr>
                  </w:pPr>
                  <w:r>
                    <w:rPr>
                      <w:rFonts w:hint="default" w:ascii="Times New Roman" w:hAnsi="Times New Roman" w:eastAsia="宋体" w:cs="Times New Roman"/>
                      <w:b/>
                      <w:bCs w:val="0"/>
                      <w:kern w:val="21"/>
                      <w:sz w:val="21"/>
                      <w:szCs w:val="24"/>
                      <w:highlight w:val="none"/>
                      <w:lang w:val="zh-CN" w:eastAsia="zh-CN" w:bidi="zh-CN"/>
                    </w:rPr>
                    <w:t>监测点浓度限值</w:t>
                  </w:r>
                  <w:r>
                    <w:rPr>
                      <w:rFonts w:hint="default" w:ascii="Times New Roman" w:hAnsi="Times New Roman" w:eastAsia="宋体" w:cs="Times New Roman"/>
                      <w:b/>
                      <w:bCs w:val="0"/>
                      <w:kern w:val="21"/>
                      <w:sz w:val="21"/>
                      <w:szCs w:val="24"/>
                      <w:highlight w:val="none"/>
                      <w:lang w:val="en-US" w:eastAsia="zh-CN" w:bidi="zh-CN"/>
                    </w:rPr>
                    <w:t>a</w:t>
                  </w:r>
                  <w:r>
                    <w:rPr>
                      <w:rFonts w:hint="default" w:ascii="Times New Roman" w:hAnsi="Times New Roman" w:eastAsia="宋体" w:cs="Times New Roman"/>
                      <w:b/>
                      <w:bCs w:val="0"/>
                      <w:kern w:val="21"/>
                      <w:sz w:val="21"/>
                      <w:szCs w:val="24"/>
                      <w:highlight w:val="none"/>
                      <w:lang w:val="zh-CN" w:eastAsia="zh-CN" w:bidi="zh-CN"/>
                    </w:rPr>
                    <w:t>（μg/m</w:t>
                  </w:r>
                  <w:r>
                    <w:rPr>
                      <w:rFonts w:hint="default" w:ascii="Times New Roman" w:hAnsi="Times New Roman" w:eastAsia="宋体" w:cs="Times New Roman"/>
                      <w:b/>
                      <w:bCs w:val="0"/>
                      <w:kern w:val="21"/>
                      <w:sz w:val="21"/>
                      <w:szCs w:val="24"/>
                      <w:highlight w:val="none"/>
                      <w:vertAlign w:val="superscript"/>
                      <w:lang w:val="zh-CN" w:eastAsia="zh-CN" w:bidi="zh-CN"/>
                    </w:rPr>
                    <w:t>3</w:t>
                  </w:r>
                  <w:r>
                    <w:rPr>
                      <w:rFonts w:hint="default" w:ascii="Times New Roman" w:hAnsi="Times New Roman" w:eastAsia="宋体" w:cs="Times New Roman"/>
                      <w:b/>
                      <w:bCs w:val="0"/>
                      <w:kern w:val="21"/>
                      <w:sz w:val="21"/>
                      <w:szCs w:val="24"/>
                      <w:highlight w:val="none"/>
                      <w:lang w:val="zh-CN" w:eastAsia="zh-CN" w:bidi="zh-CN"/>
                    </w:rPr>
                    <w:t>）</w:t>
                  </w:r>
                </w:p>
              </w:tc>
              <w:tc>
                <w:tcPr>
                  <w:tcW w:w="281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b/>
                      <w:bCs w:val="0"/>
                      <w:kern w:val="21"/>
                      <w:sz w:val="21"/>
                      <w:szCs w:val="24"/>
                      <w:highlight w:val="none"/>
                      <w:lang w:val="en-US" w:eastAsia="zh-CN" w:bidi="zh-CN"/>
                    </w:rPr>
                  </w:pPr>
                  <w:r>
                    <w:rPr>
                      <w:rFonts w:hint="default" w:ascii="Times New Roman" w:hAnsi="Times New Roman" w:eastAsia="宋体" w:cs="Times New Roman"/>
                      <w:b/>
                      <w:bCs w:val="0"/>
                      <w:kern w:val="21"/>
                      <w:sz w:val="21"/>
                      <w:szCs w:val="24"/>
                      <w:highlight w:val="none"/>
                      <w:lang w:val="en-US" w:eastAsia="zh-CN" w:bidi="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b w:val="0"/>
                      <w:bCs/>
                      <w:kern w:val="21"/>
                      <w:sz w:val="21"/>
                      <w:szCs w:val="24"/>
                      <w:highlight w:val="none"/>
                      <w:lang w:val="zh-CN" w:eastAsia="zh-CN" w:bidi="zh-CN"/>
                    </w:rPr>
                  </w:pPr>
                  <w:r>
                    <w:rPr>
                      <w:rFonts w:hint="default" w:ascii="Times New Roman" w:hAnsi="Times New Roman" w:eastAsia="宋体" w:cs="Times New Roman"/>
                      <w:b w:val="0"/>
                      <w:bCs/>
                      <w:kern w:val="21"/>
                      <w:sz w:val="21"/>
                      <w:szCs w:val="24"/>
                      <w:highlight w:val="none"/>
                      <w:lang w:val="zh-CN" w:eastAsia="zh-CN" w:bidi="zh-CN"/>
                    </w:rPr>
                    <w:t>PM</w:t>
                  </w:r>
                  <w:r>
                    <w:rPr>
                      <w:rFonts w:hint="default" w:ascii="Times New Roman" w:hAnsi="Times New Roman" w:eastAsia="宋体" w:cs="Times New Roman"/>
                      <w:b w:val="0"/>
                      <w:bCs/>
                      <w:kern w:val="21"/>
                      <w:sz w:val="21"/>
                      <w:szCs w:val="24"/>
                      <w:highlight w:val="none"/>
                      <w:vertAlign w:val="subscript"/>
                      <w:lang w:val="zh-CN" w:eastAsia="zh-CN" w:bidi="zh-CN"/>
                    </w:rPr>
                    <w:t>10</w:t>
                  </w:r>
                </w:p>
              </w:tc>
              <w:tc>
                <w:tcPr>
                  <w:tcW w:w="421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b w:val="0"/>
                      <w:bCs/>
                      <w:kern w:val="21"/>
                      <w:sz w:val="21"/>
                      <w:szCs w:val="24"/>
                      <w:highlight w:val="none"/>
                      <w:lang w:val="zh-CN" w:eastAsia="zh-CN" w:bidi="zh-CN"/>
                    </w:rPr>
                  </w:pPr>
                  <w:r>
                    <w:rPr>
                      <w:rFonts w:hint="default" w:ascii="Times New Roman" w:hAnsi="Times New Roman" w:eastAsia="宋体" w:cs="Times New Roman"/>
                      <w:b w:val="0"/>
                      <w:bCs/>
                      <w:kern w:val="21"/>
                      <w:sz w:val="21"/>
                      <w:szCs w:val="24"/>
                      <w:highlight w:val="none"/>
                      <w:lang w:val="zh-CN" w:eastAsia="zh-CN" w:bidi="zh-CN"/>
                    </w:rPr>
                    <w:t>80</w:t>
                  </w:r>
                </w:p>
              </w:tc>
              <w:tc>
                <w:tcPr>
                  <w:tcW w:w="2811"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before="0" w:after="0" w:line="240" w:lineRule="auto"/>
                    <w:ind w:left="0" w:firstLine="0" w:firstLineChars="0"/>
                    <w:jc w:val="center"/>
                    <w:textAlignment w:val="auto"/>
                    <w:rPr>
                      <w:rFonts w:hint="default" w:ascii="Times New Roman" w:hAnsi="Times New Roman" w:eastAsia="宋体" w:cs="Times New Roman"/>
                      <w:b w:val="0"/>
                      <w:bCs/>
                      <w:kern w:val="21"/>
                      <w:sz w:val="21"/>
                      <w:szCs w:val="24"/>
                      <w:highlight w:val="none"/>
                      <w:lang w:val="zh-CN" w:eastAsia="zh-CN" w:bidi="zh-CN"/>
                    </w:rPr>
                  </w:pPr>
                  <w:r>
                    <w:rPr>
                      <w:rFonts w:hint="default" w:ascii="Times New Roman" w:hAnsi="Times New Roman" w:eastAsia="宋体" w:cs="Times New Roman"/>
                      <w:b w:val="0"/>
                      <w:bCs/>
                      <w:kern w:val="21"/>
                      <w:sz w:val="21"/>
                      <w:szCs w:val="24"/>
                      <w:highlight w:val="none"/>
                      <w:lang w:val="zh-CN" w:eastAsia="zh-CN" w:bidi="zh-CN"/>
                    </w:rPr>
                    <w:t>《施工场地扬尘排放标准》（DB13/2934-2019）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5734"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ascii="Times New Roman" w:hAnsi="Times New Roman" w:eastAsia="宋体" w:cs="Times New Roman"/>
                      <w:sz w:val="21"/>
                      <w:highlight w:val="none"/>
                      <w:lang w:val="en-US"/>
                    </w:rPr>
                  </w:pPr>
                  <w:r>
                    <w:rPr>
                      <w:rFonts w:hint="default" w:ascii="Times New Roman" w:hAnsi="Times New Roman" w:eastAsia="宋体" w:cs="Times New Roman"/>
                      <w:b w:val="0"/>
                      <w:bCs/>
                      <w:kern w:val="21"/>
                      <w:sz w:val="21"/>
                      <w:szCs w:val="24"/>
                      <w:highlight w:val="none"/>
                      <w:vertAlign w:val="superscript"/>
                      <w:lang w:val="en-US" w:eastAsia="zh-CN" w:bidi="zh-CN"/>
                    </w:rPr>
                    <w:t>a</w:t>
                  </w:r>
                  <w:r>
                    <w:rPr>
                      <w:rFonts w:hint="default" w:ascii="Times New Roman" w:hAnsi="Times New Roman" w:eastAsia="宋体" w:cs="Times New Roman"/>
                      <w:b w:val="0"/>
                      <w:bCs/>
                      <w:kern w:val="21"/>
                      <w:sz w:val="21"/>
                      <w:szCs w:val="24"/>
                      <w:highlight w:val="none"/>
                      <w:vertAlign w:val="baseline"/>
                      <w:lang w:val="en-US" w:eastAsia="zh-CN" w:bidi="zh-CN"/>
                    </w:rPr>
                    <w:t>指监测点PM</w:t>
                  </w:r>
                  <w:r>
                    <w:rPr>
                      <w:rFonts w:hint="default" w:ascii="Times New Roman" w:hAnsi="Times New Roman" w:eastAsia="宋体" w:cs="Times New Roman"/>
                      <w:b w:val="0"/>
                      <w:bCs/>
                      <w:kern w:val="21"/>
                      <w:sz w:val="21"/>
                      <w:szCs w:val="24"/>
                      <w:highlight w:val="none"/>
                      <w:vertAlign w:val="subscript"/>
                      <w:lang w:val="en-US" w:eastAsia="zh-CN" w:bidi="zh-CN"/>
                    </w:rPr>
                    <w:t>10</w:t>
                  </w:r>
                  <w:r>
                    <w:rPr>
                      <w:rFonts w:hint="default" w:ascii="Times New Roman" w:hAnsi="Times New Roman" w:eastAsia="宋体" w:cs="Times New Roman"/>
                      <w:b w:val="0"/>
                      <w:bCs/>
                      <w:kern w:val="21"/>
                      <w:sz w:val="21"/>
                      <w:szCs w:val="24"/>
                      <w:highlight w:val="none"/>
                      <w:vertAlign w:val="baseline"/>
                      <w:lang w:val="en-US" w:eastAsia="zh-CN" w:bidi="zh-CN"/>
                    </w:rPr>
                    <w:t>小时平均浓度实测值与同时段所属县（市、区）PM10小时平均浓度的差值。当县（市、区）PM</w:t>
                  </w:r>
                  <w:r>
                    <w:rPr>
                      <w:rFonts w:hint="default" w:ascii="Times New Roman" w:hAnsi="Times New Roman" w:eastAsia="宋体" w:cs="Times New Roman"/>
                      <w:b w:val="0"/>
                      <w:bCs/>
                      <w:kern w:val="21"/>
                      <w:sz w:val="21"/>
                      <w:szCs w:val="24"/>
                      <w:highlight w:val="none"/>
                      <w:vertAlign w:val="subscript"/>
                      <w:lang w:val="en-US" w:eastAsia="zh-CN" w:bidi="zh-CN"/>
                    </w:rPr>
                    <w:t>10</w:t>
                  </w:r>
                  <w:r>
                    <w:rPr>
                      <w:rFonts w:hint="default" w:ascii="Times New Roman" w:hAnsi="Times New Roman" w:eastAsia="宋体" w:cs="Times New Roman"/>
                      <w:b w:val="0"/>
                      <w:bCs/>
                      <w:kern w:val="21"/>
                      <w:sz w:val="21"/>
                      <w:szCs w:val="24"/>
                      <w:highlight w:val="none"/>
                      <w:vertAlign w:val="baseline"/>
                      <w:lang w:val="en-US" w:eastAsia="zh-CN" w:bidi="zh-CN"/>
                    </w:rPr>
                    <w:t>小时平均浓度大于150μg/m</w:t>
                  </w:r>
                  <w:r>
                    <w:rPr>
                      <w:rFonts w:hint="default" w:ascii="Times New Roman" w:hAnsi="Times New Roman" w:eastAsia="宋体" w:cs="Times New Roman"/>
                      <w:b w:val="0"/>
                      <w:bCs/>
                      <w:kern w:val="21"/>
                      <w:sz w:val="21"/>
                      <w:szCs w:val="24"/>
                      <w:highlight w:val="none"/>
                      <w:vertAlign w:val="superscript"/>
                      <w:lang w:val="en-US" w:eastAsia="zh-CN" w:bidi="zh-CN"/>
                    </w:rPr>
                    <w:t>3</w:t>
                  </w:r>
                  <w:r>
                    <w:rPr>
                      <w:rFonts w:hint="default" w:ascii="Times New Roman" w:hAnsi="Times New Roman" w:eastAsia="宋体" w:cs="Times New Roman"/>
                      <w:b w:val="0"/>
                      <w:bCs/>
                      <w:kern w:val="21"/>
                      <w:sz w:val="21"/>
                      <w:szCs w:val="24"/>
                      <w:highlight w:val="none"/>
                      <w:vertAlign w:val="baseline"/>
                      <w:lang w:val="en-US" w:eastAsia="zh-CN" w:bidi="zh-CN"/>
                    </w:rPr>
                    <w:t>，以150μg/m</w:t>
                  </w:r>
                  <w:r>
                    <w:rPr>
                      <w:rFonts w:hint="default" w:ascii="Times New Roman" w:hAnsi="Times New Roman" w:eastAsia="宋体" w:cs="Times New Roman"/>
                      <w:b w:val="0"/>
                      <w:bCs/>
                      <w:kern w:val="21"/>
                      <w:sz w:val="21"/>
                      <w:szCs w:val="24"/>
                      <w:highlight w:val="none"/>
                      <w:vertAlign w:val="superscript"/>
                      <w:lang w:val="en-US" w:eastAsia="zh-CN" w:bidi="zh-CN"/>
                    </w:rPr>
                    <w:t>3</w:t>
                  </w:r>
                  <w:r>
                    <w:rPr>
                      <w:rFonts w:hint="default" w:ascii="Times New Roman" w:hAnsi="Times New Roman" w:eastAsia="宋体" w:cs="Times New Roman"/>
                      <w:b w:val="0"/>
                      <w:bCs/>
                      <w:kern w:val="21"/>
                      <w:sz w:val="21"/>
                      <w:szCs w:val="24"/>
                      <w:highlight w:val="none"/>
                      <w:vertAlign w:val="baseline"/>
                      <w:lang w:val="en-US" w:eastAsia="zh-CN" w:bidi="zh-CN"/>
                    </w:rPr>
                    <w:t>计。</w:t>
                  </w:r>
                </w:p>
              </w:tc>
              <w:tc>
                <w:tcPr>
                  <w:tcW w:w="281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5"/>
                    <w:pageBreakBefore w:val="0"/>
                    <w:widowControl w:val="0"/>
                    <w:kinsoku/>
                    <w:wordWrap/>
                    <w:overflowPunct/>
                    <w:topLinePunct w:val="0"/>
                    <w:autoSpaceDE/>
                    <w:autoSpaceDN/>
                    <w:bidi w:val="0"/>
                    <w:adjustRightInd/>
                    <w:snapToGrid/>
                    <w:spacing w:beforeLines="0" w:afterLines="0" w:line="240" w:lineRule="auto"/>
                    <w:textAlignment w:val="auto"/>
                    <w:rPr>
                      <w:rFonts w:hint="default" w:ascii="Times New Roman" w:hAnsi="Times New Roman" w:cs="Times New Roman"/>
                      <w:sz w:val="21"/>
                      <w:highlight w:val="none"/>
                    </w:rPr>
                  </w:pP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lang w:eastAsia="zh-CN"/>
              </w:rPr>
            </w:pPr>
            <w:r>
              <w:rPr>
                <w:rFonts w:hint="default" w:ascii="Times New Roman" w:hAnsi="Times New Roman" w:cs="Times New Roman"/>
                <w:sz w:val="24"/>
                <w:highlight w:val="none"/>
              </w:rPr>
              <w:t>⑵</w:t>
            </w:r>
            <w:r>
              <w:rPr>
                <w:rFonts w:hint="default" w:ascii="Times New Roman" w:hAnsi="Times New Roman" w:eastAsia="宋体" w:cs="Times New Roman"/>
                <w:sz w:val="24"/>
                <w:highlight w:val="none"/>
              </w:rPr>
              <w:t>施工噪声执行《建筑施工场界环境噪声排放标准》（GB12523-2011）标准：昼夜70dB（A）、夜间55dB（A）。</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b/>
                <w:bCs/>
                <w:lang w:eastAsia="zh-CN"/>
              </w:rPr>
            </w:pPr>
            <w:r>
              <w:rPr>
                <w:rFonts w:hint="eastAsia"/>
                <w:b/>
                <w:bCs/>
                <w:lang w:eastAsia="zh-CN"/>
              </w:rPr>
              <w:t>运营期</w:t>
            </w:r>
          </w:p>
          <w:p>
            <w:pPr>
              <w:keepNext w:val="0"/>
              <w:keepLines w:val="0"/>
              <w:pageBreakBefore w:val="0"/>
              <w:widowControl w:val="0"/>
              <w:kinsoku/>
              <w:wordWrap/>
              <w:overflowPunct/>
              <w:topLinePunct w:val="0"/>
              <w:autoSpaceDE/>
              <w:autoSpaceDN/>
              <w:bidi w:val="0"/>
              <w:adjustRightInd/>
              <w:snapToGrid/>
              <w:spacing w:line="500" w:lineRule="exact"/>
              <w:ind w:firstLine="480"/>
              <w:jc w:val="left"/>
              <w:textAlignment w:val="auto"/>
              <w:rPr>
                <w:color w:val="FF0000"/>
                <w:szCs w:val="24"/>
              </w:rPr>
            </w:pPr>
            <w:r>
              <w:rPr>
                <w:szCs w:val="24"/>
              </w:rPr>
              <w:t>1</w:t>
            </w:r>
            <w:r>
              <w:rPr>
                <w:rFonts w:hint="eastAsia"/>
                <w:szCs w:val="24"/>
              </w:rPr>
              <w:t>、</w:t>
            </w:r>
            <w:r>
              <w:rPr>
                <w:rFonts w:hint="eastAsia"/>
                <w:szCs w:val="24"/>
                <w:lang w:bidi="ar"/>
              </w:rPr>
              <w:t>运营期生产运行阶段污水处理</w:t>
            </w:r>
            <w:r>
              <w:rPr>
                <w:rFonts w:hint="eastAsia"/>
                <w:szCs w:val="24"/>
                <w:lang w:eastAsia="zh-CN" w:bidi="ar"/>
              </w:rPr>
              <w:t>站</w:t>
            </w:r>
            <w:r>
              <w:rPr>
                <w:rFonts w:hint="eastAsia"/>
                <w:szCs w:val="24"/>
                <w:lang w:bidi="ar"/>
              </w:rPr>
              <w:t>恶臭物质NH</w:t>
            </w:r>
            <w:r>
              <w:rPr>
                <w:rFonts w:hint="eastAsia"/>
                <w:szCs w:val="24"/>
                <w:vertAlign w:val="subscript"/>
                <w:lang w:bidi="ar"/>
              </w:rPr>
              <w:t>3</w:t>
            </w:r>
            <w:r>
              <w:rPr>
                <w:rFonts w:hint="eastAsia"/>
                <w:szCs w:val="24"/>
                <w:lang w:bidi="ar"/>
              </w:rPr>
              <w:t>、H</w:t>
            </w:r>
            <w:r>
              <w:rPr>
                <w:rFonts w:hint="eastAsia"/>
                <w:szCs w:val="24"/>
                <w:vertAlign w:val="subscript"/>
                <w:lang w:bidi="ar"/>
              </w:rPr>
              <w:t>2</w:t>
            </w:r>
            <w:r>
              <w:rPr>
                <w:rFonts w:hint="eastAsia"/>
                <w:szCs w:val="24"/>
                <w:lang w:bidi="ar"/>
              </w:rPr>
              <w:t>S、臭气浓度的排放参照执行《城镇污水处理厂污染物排放标准》（GB18918-2002）及其修改单表4二级标准要求。</w:t>
            </w:r>
            <w:r>
              <w:rPr>
                <w:color w:val="000000"/>
                <w:szCs w:val="24"/>
                <w:lang w:bidi="ar"/>
              </w:rPr>
              <w:t>具体标准值见下表：</w:t>
            </w:r>
          </w:p>
          <w:p>
            <w:pPr>
              <w:spacing w:line="240" w:lineRule="auto"/>
              <w:ind w:firstLine="0" w:firstLineChars="0"/>
              <w:jc w:val="center"/>
              <w:rPr>
                <w:b/>
                <w:sz w:val="21"/>
                <w:szCs w:val="21"/>
              </w:rPr>
            </w:pPr>
            <w:r>
              <w:rPr>
                <w:b/>
                <w:sz w:val="21"/>
                <w:szCs w:val="21"/>
              </w:rPr>
              <w:t>表</w:t>
            </w:r>
            <w:r>
              <w:rPr>
                <w:rFonts w:hint="eastAsia"/>
                <w:b/>
                <w:sz w:val="21"/>
                <w:szCs w:val="21"/>
                <w:lang w:val="en-US" w:eastAsia="zh-CN"/>
              </w:rPr>
              <w:t>3-9</w:t>
            </w:r>
            <w:r>
              <w:rPr>
                <w:b/>
                <w:sz w:val="21"/>
                <w:szCs w:val="21"/>
              </w:rPr>
              <w:t xml:space="preserve"> 大气污染物排放标准</w:t>
            </w:r>
          </w:p>
          <w:tbl>
            <w:tblPr>
              <w:tblStyle w:val="15"/>
              <w:tblW w:w="84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427"/>
              <w:gridCol w:w="1134"/>
              <w:gridCol w:w="1003"/>
              <w:gridCol w:w="2144"/>
              <w:gridCol w:w="3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207" w:type="dxa"/>
                  <w:gridSpan w:val="3"/>
                  <w:vMerge w:val="restart"/>
                  <w:vAlign w:val="center"/>
                </w:tcPr>
                <w:p>
                  <w:pPr>
                    <w:pStyle w:val="41"/>
                    <w:rPr>
                      <w:b/>
                      <w:color w:val="000000" w:themeColor="text1"/>
                      <w:sz w:val="21"/>
                      <w14:textFill>
                        <w14:solidFill>
                          <w14:schemeClr w14:val="tx1"/>
                        </w14:solidFill>
                      </w14:textFill>
                    </w:rPr>
                  </w:pPr>
                  <w:r>
                    <w:rPr>
                      <w:b/>
                      <w:color w:val="000000" w:themeColor="text1"/>
                      <w:sz w:val="21"/>
                      <w14:textFill>
                        <w14:solidFill>
                          <w14:schemeClr w14:val="tx1"/>
                        </w14:solidFill>
                      </w14:textFill>
                    </w:rPr>
                    <w:t>污染物名称</w:t>
                  </w:r>
                </w:p>
              </w:tc>
              <w:tc>
                <w:tcPr>
                  <w:tcW w:w="3147" w:type="dxa"/>
                  <w:gridSpan w:val="2"/>
                  <w:vAlign w:val="center"/>
                </w:tcPr>
                <w:p>
                  <w:pPr>
                    <w:pStyle w:val="41"/>
                    <w:rPr>
                      <w:b/>
                      <w:color w:val="000000" w:themeColor="text1"/>
                      <w:sz w:val="21"/>
                      <w14:textFill>
                        <w14:solidFill>
                          <w14:schemeClr w14:val="tx1"/>
                        </w14:solidFill>
                      </w14:textFill>
                    </w:rPr>
                  </w:pPr>
                  <w:r>
                    <w:rPr>
                      <w:b/>
                      <w:color w:val="000000" w:themeColor="text1"/>
                      <w:sz w:val="21"/>
                      <w14:textFill>
                        <w14:solidFill>
                          <w14:schemeClr w14:val="tx1"/>
                        </w14:solidFill>
                      </w14:textFill>
                    </w:rPr>
                    <w:t>标准值</w:t>
                  </w:r>
                </w:p>
              </w:tc>
              <w:tc>
                <w:tcPr>
                  <w:tcW w:w="3048" w:type="dxa"/>
                  <w:vMerge w:val="restart"/>
                  <w:vAlign w:val="center"/>
                </w:tcPr>
                <w:p>
                  <w:pPr>
                    <w:pStyle w:val="41"/>
                    <w:rPr>
                      <w:b/>
                      <w:color w:val="000000" w:themeColor="text1"/>
                      <w:sz w:val="21"/>
                      <w14:textFill>
                        <w14:solidFill>
                          <w14:schemeClr w14:val="tx1"/>
                        </w14:solidFill>
                      </w14:textFill>
                    </w:rPr>
                  </w:pPr>
                  <w:r>
                    <w:rPr>
                      <w:b/>
                      <w:color w:val="000000" w:themeColor="text1"/>
                      <w:sz w:val="21"/>
                      <w14:textFill>
                        <w14:solidFill>
                          <w14:schemeClr w14:val="tx1"/>
                        </w14:solidFill>
                      </w14:textFill>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207" w:type="dxa"/>
                  <w:gridSpan w:val="3"/>
                  <w:vMerge w:val="continue"/>
                  <w:vAlign w:val="center"/>
                </w:tcPr>
                <w:p>
                  <w:pPr>
                    <w:pStyle w:val="41"/>
                    <w:ind w:firstLine="422"/>
                    <w:rPr>
                      <w:b/>
                      <w:color w:val="000000" w:themeColor="text1"/>
                      <w:sz w:val="21"/>
                      <w14:textFill>
                        <w14:solidFill>
                          <w14:schemeClr w14:val="tx1"/>
                        </w14:solidFill>
                      </w14:textFill>
                    </w:rPr>
                  </w:pPr>
                </w:p>
              </w:tc>
              <w:tc>
                <w:tcPr>
                  <w:tcW w:w="1003" w:type="dxa"/>
                  <w:vAlign w:val="center"/>
                </w:tcPr>
                <w:p>
                  <w:pPr>
                    <w:pStyle w:val="41"/>
                    <w:rPr>
                      <w:b/>
                      <w:color w:val="000000" w:themeColor="text1"/>
                      <w:sz w:val="21"/>
                      <w14:textFill>
                        <w14:solidFill>
                          <w14:schemeClr w14:val="tx1"/>
                        </w14:solidFill>
                      </w14:textFill>
                    </w:rPr>
                  </w:pPr>
                  <w:r>
                    <w:rPr>
                      <w:b/>
                      <w:color w:val="000000" w:themeColor="text1"/>
                      <w:sz w:val="21"/>
                      <w14:textFill>
                        <w14:solidFill>
                          <w14:schemeClr w14:val="tx1"/>
                        </w14:solidFill>
                      </w14:textFill>
                    </w:rPr>
                    <w:t>单位</w:t>
                  </w:r>
                </w:p>
              </w:tc>
              <w:tc>
                <w:tcPr>
                  <w:tcW w:w="2144" w:type="dxa"/>
                  <w:vAlign w:val="center"/>
                </w:tcPr>
                <w:p>
                  <w:pPr>
                    <w:pStyle w:val="41"/>
                    <w:rPr>
                      <w:b/>
                      <w:color w:val="000000" w:themeColor="text1"/>
                      <w:sz w:val="21"/>
                      <w14:textFill>
                        <w14:solidFill>
                          <w14:schemeClr w14:val="tx1"/>
                        </w14:solidFill>
                      </w14:textFill>
                    </w:rPr>
                  </w:pPr>
                  <w:r>
                    <w:rPr>
                      <w:b/>
                      <w:color w:val="000000" w:themeColor="text1"/>
                      <w:sz w:val="21"/>
                      <w14:textFill>
                        <w14:solidFill>
                          <w14:schemeClr w14:val="tx1"/>
                        </w14:solidFill>
                      </w14:textFill>
                    </w:rPr>
                    <w:t>数值</w:t>
                  </w:r>
                </w:p>
              </w:tc>
              <w:tc>
                <w:tcPr>
                  <w:tcW w:w="3048" w:type="dxa"/>
                  <w:vMerge w:val="continue"/>
                  <w:vAlign w:val="center"/>
                </w:tcPr>
                <w:p>
                  <w:pPr>
                    <w:pStyle w:val="41"/>
                    <w:ind w:firstLine="422"/>
                    <w:rPr>
                      <w:b/>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646" w:type="dxa"/>
                  <w:vMerge w:val="restart"/>
                  <w:vAlign w:val="center"/>
                </w:tcPr>
                <w:p>
                  <w:pPr>
                    <w:pStyle w:val="41"/>
                    <w:jc w:val="both"/>
                    <w:rPr>
                      <w:color w:val="auto"/>
                      <w:sz w:val="21"/>
                    </w:rPr>
                  </w:pPr>
                  <w:r>
                    <w:rPr>
                      <w:color w:val="auto"/>
                      <w:sz w:val="21"/>
                    </w:rPr>
                    <w:t>废气</w:t>
                  </w:r>
                </w:p>
              </w:tc>
              <w:tc>
                <w:tcPr>
                  <w:tcW w:w="427" w:type="dxa"/>
                  <w:vMerge w:val="restart"/>
                  <w:vAlign w:val="center"/>
                </w:tcPr>
                <w:p>
                  <w:pPr>
                    <w:pStyle w:val="41"/>
                    <w:rPr>
                      <w:color w:val="auto"/>
                      <w:sz w:val="21"/>
                    </w:rPr>
                  </w:pPr>
                  <w:r>
                    <w:rPr>
                      <w:rFonts w:hint="eastAsia"/>
                      <w:color w:val="auto"/>
                      <w:sz w:val="21"/>
                    </w:rPr>
                    <w:t>生产运行阶段</w:t>
                  </w:r>
                </w:p>
              </w:tc>
              <w:tc>
                <w:tcPr>
                  <w:tcW w:w="1134" w:type="dxa"/>
                  <w:vAlign w:val="center"/>
                </w:tcPr>
                <w:p>
                  <w:pPr>
                    <w:topLinePunct/>
                    <w:spacing w:line="240" w:lineRule="auto"/>
                    <w:ind w:firstLine="0" w:firstLineChars="0"/>
                    <w:jc w:val="center"/>
                    <w:textAlignment w:val="center"/>
                    <w:rPr>
                      <w:sz w:val="21"/>
                      <w:szCs w:val="21"/>
                    </w:rPr>
                  </w:pPr>
                  <w:r>
                    <w:rPr>
                      <w:sz w:val="21"/>
                      <w:szCs w:val="21"/>
                    </w:rPr>
                    <w:t>NH</w:t>
                  </w:r>
                  <w:r>
                    <w:rPr>
                      <w:sz w:val="21"/>
                      <w:szCs w:val="21"/>
                      <w:vertAlign w:val="subscript"/>
                    </w:rPr>
                    <w:t>3</w:t>
                  </w:r>
                </w:p>
              </w:tc>
              <w:tc>
                <w:tcPr>
                  <w:tcW w:w="1003" w:type="dxa"/>
                  <w:vAlign w:val="center"/>
                </w:tcPr>
                <w:p>
                  <w:pPr>
                    <w:pStyle w:val="41"/>
                    <w:rPr>
                      <w:color w:val="auto"/>
                      <w:sz w:val="21"/>
                    </w:rPr>
                  </w:pPr>
                  <w:r>
                    <w:rPr>
                      <w:color w:val="auto"/>
                      <w:sz w:val="21"/>
                    </w:rPr>
                    <w:t>mg/m</w:t>
                  </w:r>
                  <w:r>
                    <w:rPr>
                      <w:color w:val="auto"/>
                      <w:sz w:val="21"/>
                      <w:vertAlign w:val="superscript"/>
                    </w:rPr>
                    <w:t>3</w:t>
                  </w:r>
                </w:p>
              </w:tc>
              <w:tc>
                <w:tcPr>
                  <w:tcW w:w="2144" w:type="dxa"/>
                  <w:tcMar>
                    <w:left w:w="57" w:type="dxa"/>
                    <w:right w:w="57" w:type="dxa"/>
                  </w:tcMar>
                  <w:vAlign w:val="center"/>
                </w:tcPr>
                <w:p>
                  <w:pPr>
                    <w:pStyle w:val="41"/>
                    <w:rPr>
                      <w:color w:val="0D0D0D" w:themeColor="text1" w:themeTint="F2"/>
                      <w:sz w:val="21"/>
                      <w14:textFill>
                        <w14:solidFill>
                          <w14:schemeClr w14:val="tx1">
                            <w14:lumMod w14:val="95000"/>
                            <w14:lumOff w14:val="5000"/>
                          </w14:schemeClr>
                        </w14:solidFill>
                      </w14:textFill>
                    </w:rPr>
                  </w:pPr>
                  <w:r>
                    <w:rPr>
                      <w:color w:val="0D0D0D" w:themeColor="text1" w:themeTint="F2"/>
                      <w:sz w:val="21"/>
                      <w14:textFill>
                        <w14:solidFill>
                          <w14:schemeClr w14:val="tx1">
                            <w14:lumMod w14:val="95000"/>
                            <w14:lumOff w14:val="5000"/>
                          </w14:schemeClr>
                        </w14:solidFill>
                      </w14:textFill>
                    </w:rPr>
                    <w:t>1.5</w:t>
                  </w:r>
                </w:p>
              </w:tc>
              <w:tc>
                <w:tcPr>
                  <w:tcW w:w="3048" w:type="dxa"/>
                  <w:vMerge w:val="restart"/>
                  <w:vAlign w:val="center"/>
                </w:tcPr>
                <w:p>
                  <w:pPr>
                    <w:pStyle w:val="41"/>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参照《城镇污水处理厂污染物排放标准》（GB18918-2002）及其修改单表4二级标准要求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46" w:type="dxa"/>
                  <w:vMerge w:val="continue"/>
                  <w:vAlign w:val="center"/>
                </w:tcPr>
                <w:p>
                  <w:pPr>
                    <w:pStyle w:val="41"/>
                    <w:ind w:firstLine="420"/>
                    <w:rPr>
                      <w:color w:val="auto"/>
                      <w:sz w:val="21"/>
                    </w:rPr>
                  </w:pPr>
                </w:p>
              </w:tc>
              <w:tc>
                <w:tcPr>
                  <w:tcW w:w="427" w:type="dxa"/>
                  <w:vMerge w:val="continue"/>
                  <w:vAlign w:val="center"/>
                </w:tcPr>
                <w:p>
                  <w:pPr>
                    <w:pStyle w:val="41"/>
                    <w:ind w:firstLine="420"/>
                    <w:rPr>
                      <w:color w:val="auto"/>
                      <w:sz w:val="21"/>
                    </w:rPr>
                  </w:pPr>
                </w:p>
              </w:tc>
              <w:tc>
                <w:tcPr>
                  <w:tcW w:w="1134" w:type="dxa"/>
                  <w:vAlign w:val="center"/>
                </w:tcPr>
                <w:p>
                  <w:pPr>
                    <w:topLinePunct/>
                    <w:spacing w:line="240" w:lineRule="auto"/>
                    <w:ind w:firstLine="0" w:firstLineChars="0"/>
                    <w:jc w:val="center"/>
                    <w:textAlignment w:val="center"/>
                    <w:rPr>
                      <w:sz w:val="21"/>
                      <w:szCs w:val="21"/>
                    </w:rPr>
                  </w:pPr>
                  <w:r>
                    <w:rPr>
                      <w:sz w:val="21"/>
                      <w:szCs w:val="21"/>
                    </w:rPr>
                    <w:t>H</w:t>
                  </w:r>
                  <w:r>
                    <w:rPr>
                      <w:sz w:val="21"/>
                      <w:szCs w:val="21"/>
                      <w:vertAlign w:val="subscript"/>
                    </w:rPr>
                    <w:t>2</w:t>
                  </w:r>
                  <w:r>
                    <w:rPr>
                      <w:sz w:val="21"/>
                      <w:szCs w:val="21"/>
                    </w:rPr>
                    <w:t>S</w:t>
                  </w:r>
                </w:p>
              </w:tc>
              <w:tc>
                <w:tcPr>
                  <w:tcW w:w="1003" w:type="dxa"/>
                  <w:vAlign w:val="center"/>
                </w:tcPr>
                <w:p>
                  <w:pPr>
                    <w:pStyle w:val="41"/>
                    <w:rPr>
                      <w:color w:val="auto"/>
                      <w:sz w:val="21"/>
                    </w:rPr>
                  </w:pPr>
                  <w:r>
                    <w:rPr>
                      <w:color w:val="auto"/>
                      <w:sz w:val="21"/>
                    </w:rPr>
                    <w:t>mg/m</w:t>
                  </w:r>
                  <w:r>
                    <w:rPr>
                      <w:color w:val="auto"/>
                      <w:sz w:val="21"/>
                      <w:vertAlign w:val="superscript"/>
                    </w:rPr>
                    <w:t>3</w:t>
                  </w:r>
                </w:p>
              </w:tc>
              <w:tc>
                <w:tcPr>
                  <w:tcW w:w="2144" w:type="dxa"/>
                  <w:tcMar>
                    <w:left w:w="57" w:type="dxa"/>
                    <w:right w:w="57" w:type="dxa"/>
                  </w:tcMar>
                  <w:vAlign w:val="center"/>
                </w:tcPr>
                <w:p>
                  <w:pPr>
                    <w:pStyle w:val="41"/>
                    <w:rPr>
                      <w:color w:val="0D0D0D" w:themeColor="text1" w:themeTint="F2"/>
                      <w:sz w:val="21"/>
                      <w14:textFill>
                        <w14:solidFill>
                          <w14:schemeClr w14:val="tx1">
                            <w14:lumMod w14:val="95000"/>
                            <w14:lumOff w14:val="5000"/>
                          </w14:schemeClr>
                        </w14:solidFill>
                      </w14:textFill>
                    </w:rPr>
                  </w:pPr>
                  <w:r>
                    <w:rPr>
                      <w:color w:val="0D0D0D" w:themeColor="text1" w:themeTint="F2"/>
                      <w:sz w:val="21"/>
                      <w14:textFill>
                        <w14:solidFill>
                          <w14:schemeClr w14:val="tx1">
                            <w14:lumMod w14:val="95000"/>
                            <w14:lumOff w14:val="5000"/>
                          </w14:schemeClr>
                        </w14:solidFill>
                      </w14:textFill>
                    </w:rPr>
                    <w:t>0.06</w:t>
                  </w:r>
                </w:p>
              </w:tc>
              <w:tc>
                <w:tcPr>
                  <w:tcW w:w="3048" w:type="dxa"/>
                  <w:vMerge w:val="continue"/>
                  <w:vAlign w:val="center"/>
                </w:tcPr>
                <w:p>
                  <w:pPr>
                    <w:pStyle w:val="41"/>
                    <w:ind w:firstLine="420"/>
                    <w:rPr>
                      <w:color w:val="0D0D0D" w:themeColor="text1" w:themeTint="F2"/>
                      <w:sz w:val="21"/>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46" w:type="dxa"/>
                  <w:vMerge w:val="continue"/>
                  <w:vAlign w:val="center"/>
                </w:tcPr>
                <w:p>
                  <w:pPr>
                    <w:pStyle w:val="41"/>
                    <w:ind w:firstLine="420"/>
                    <w:rPr>
                      <w:color w:val="auto"/>
                      <w:sz w:val="21"/>
                    </w:rPr>
                  </w:pPr>
                </w:p>
              </w:tc>
              <w:tc>
                <w:tcPr>
                  <w:tcW w:w="427" w:type="dxa"/>
                  <w:vMerge w:val="continue"/>
                  <w:vAlign w:val="center"/>
                </w:tcPr>
                <w:p>
                  <w:pPr>
                    <w:pStyle w:val="41"/>
                    <w:ind w:firstLine="420"/>
                    <w:rPr>
                      <w:color w:val="auto"/>
                      <w:sz w:val="21"/>
                    </w:rPr>
                  </w:pPr>
                </w:p>
              </w:tc>
              <w:tc>
                <w:tcPr>
                  <w:tcW w:w="1134" w:type="dxa"/>
                  <w:vAlign w:val="center"/>
                </w:tcPr>
                <w:p>
                  <w:pPr>
                    <w:topLinePunct/>
                    <w:spacing w:line="240" w:lineRule="auto"/>
                    <w:ind w:firstLine="0" w:firstLineChars="0"/>
                    <w:jc w:val="center"/>
                    <w:textAlignment w:val="center"/>
                    <w:rPr>
                      <w:sz w:val="21"/>
                      <w:szCs w:val="21"/>
                    </w:rPr>
                  </w:pPr>
                  <w:r>
                    <w:rPr>
                      <w:sz w:val="21"/>
                      <w:szCs w:val="21"/>
                    </w:rPr>
                    <w:t>臭气浓度</w:t>
                  </w:r>
                </w:p>
              </w:tc>
              <w:tc>
                <w:tcPr>
                  <w:tcW w:w="1003" w:type="dxa"/>
                  <w:vAlign w:val="center"/>
                </w:tcPr>
                <w:p>
                  <w:pPr>
                    <w:pStyle w:val="41"/>
                    <w:rPr>
                      <w:color w:val="auto"/>
                      <w:sz w:val="21"/>
                    </w:rPr>
                  </w:pPr>
                  <w:r>
                    <w:rPr>
                      <w:color w:val="auto"/>
                      <w:sz w:val="21"/>
                    </w:rPr>
                    <w:t>无量纲</w:t>
                  </w:r>
                </w:p>
              </w:tc>
              <w:tc>
                <w:tcPr>
                  <w:tcW w:w="2144" w:type="dxa"/>
                  <w:tcMar>
                    <w:left w:w="57" w:type="dxa"/>
                    <w:right w:w="57" w:type="dxa"/>
                  </w:tcMar>
                  <w:vAlign w:val="center"/>
                </w:tcPr>
                <w:p>
                  <w:pPr>
                    <w:pStyle w:val="41"/>
                    <w:rPr>
                      <w:color w:val="0D0D0D" w:themeColor="text1" w:themeTint="F2"/>
                      <w:sz w:val="21"/>
                      <w14:textFill>
                        <w14:solidFill>
                          <w14:schemeClr w14:val="tx1">
                            <w14:lumMod w14:val="95000"/>
                            <w14:lumOff w14:val="5000"/>
                          </w14:schemeClr>
                        </w14:solidFill>
                      </w14:textFill>
                    </w:rPr>
                  </w:pPr>
                  <w:r>
                    <w:rPr>
                      <w:rFonts w:hint="eastAsia"/>
                      <w:color w:val="0D0D0D" w:themeColor="text1" w:themeTint="F2"/>
                      <w:sz w:val="21"/>
                      <w14:textFill>
                        <w14:solidFill>
                          <w14:schemeClr w14:val="tx1">
                            <w14:lumMod w14:val="95000"/>
                            <w14:lumOff w14:val="5000"/>
                          </w14:schemeClr>
                        </w14:solidFill>
                      </w14:textFill>
                    </w:rPr>
                    <w:t>2</w:t>
                  </w:r>
                  <w:r>
                    <w:rPr>
                      <w:color w:val="0D0D0D" w:themeColor="text1" w:themeTint="F2"/>
                      <w:sz w:val="21"/>
                      <w14:textFill>
                        <w14:solidFill>
                          <w14:schemeClr w14:val="tx1">
                            <w14:lumMod w14:val="95000"/>
                            <w14:lumOff w14:val="5000"/>
                          </w14:schemeClr>
                        </w14:solidFill>
                      </w14:textFill>
                    </w:rPr>
                    <w:t>0</w:t>
                  </w:r>
                </w:p>
              </w:tc>
              <w:tc>
                <w:tcPr>
                  <w:tcW w:w="3048" w:type="dxa"/>
                  <w:vMerge w:val="continue"/>
                  <w:vAlign w:val="center"/>
                </w:tcPr>
                <w:p>
                  <w:pPr>
                    <w:pStyle w:val="41"/>
                    <w:ind w:firstLine="420"/>
                    <w:rPr>
                      <w:color w:val="0D0D0D" w:themeColor="text1" w:themeTint="F2"/>
                      <w:sz w:val="21"/>
                      <w14:textFill>
                        <w14:solidFill>
                          <w14:schemeClr w14:val="tx1">
                            <w14:lumMod w14:val="95000"/>
                            <w14:lumOff w14:val="5000"/>
                          </w14:schemeClr>
                        </w14:solidFill>
                      </w14:textFill>
                    </w:rPr>
                  </w:pPr>
                </w:p>
              </w:tc>
            </w:tr>
          </w:tbl>
          <w:p>
            <w:pPr>
              <w:spacing w:line="240" w:lineRule="auto"/>
              <w:ind w:firstLine="0" w:firstLineChars="0"/>
              <w:rPr>
                <w:b/>
                <w:sz w:val="21"/>
                <w:szCs w:val="21"/>
              </w:rPr>
            </w:pPr>
          </w:p>
          <w:p>
            <w:pPr>
              <w:spacing w:line="360" w:lineRule="auto"/>
              <w:ind w:firstLine="480"/>
              <w:jc w:val="left"/>
              <w:rPr>
                <w:szCs w:val="24"/>
              </w:rPr>
            </w:pPr>
            <w:r>
              <w:rPr>
                <w:szCs w:val="24"/>
                <w:lang w:bidi="ar"/>
              </w:rPr>
              <w:t>2</w:t>
            </w:r>
            <w:r>
              <w:rPr>
                <w:rFonts w:hint="eastAsia"/>
                <w:szCs w:val="24"/>
                <w:lang w:bidi="ar"/>
              </w:rPr>
              <w:t>、运营期</w:t>
            </w:r>
            <w:r>
              <w:rPr>
                <w:szCs w:val="24"/>
              </w:rPr>
              <w:t>项目厂界噪声执行《工业企业厂界环境噪声排放标准》（GB12348-2008）</w:t>
            </w:r>
            <w:r>
              <w:rPr>
                <w:rFonts w:hint="eastAsia"/>
                <w:szCs w:val="24"/>
                <w:lang w:eastAsia="zh-CN"/>
              </w:rPr>
              <w:t>厂界东、南、北侧执行</w:t>
            </w:r>
            <w:r>
              <w:rPr>
                <w:rFonts w:hint="eastAsia"/>
                <w:szCs w:val="24"/>
                <w:lang w:val="en-US" w:eastAsia="zh-CN"/>
              </w:rPr>
              <w:t>1</w:t>
            </w:r>
            <w:r>
              <w:rPr>
                <w:szCs w:val="24"/>
              </w:rPr>
              <w:t>类标准</w:t>
            </w:r>
            <w:r>
              <w:rPr>
                <w:rFonts w:hint="eastAsia"/>
                <w:szCs w:val="24"/>
                <w:lang w:val="en-US" w:eastAsia="zh-CN"/>
              </w:rPr>
              <w:t>、</w:t>
            </w:r>
            <w:r>
              <w:rPr>
                <w:rFonts w:hint="eastAsia"/>
                <w:szCs w:val="24"/>
                <w:lang w:eastAsia="zh-CN"/>
              </w:rPr>
              <w:t>西侧执行</w:t>
            </w:r>
            <w:r>
              <w:rPr>
                <w:rFonts w:hint="eastAsia"/>
                <w:szCs w:val="24"/>
                <w:lang w:val="en-US" w:eastAsia="zh-CN"/>
              </w:rPr>
              <w:t>4</w:t>
            </w:r>
            <w:r>
              <w:rPr>
                <w:szCs w:val="24"/>
              </w:rPr>
              <w:t>类标准。</w:t>
            </w:r>
          </w:p>
          <w:p>
            <w:pPr>
              <w:spacing w:line="240" w:lineRule="auto"/>
              <w:ind w:firstLine="0" w:firstLineChars="0"/>
              <w:jc w:val="center"/>
              <w:rPr>
                <w:b/>
                <w:sz w:val="21"/>
                <w:szCs w:val="21"/>
              </w:rPr>
            </w:pPr>
            <w:r>
              <w:rPr>
                <w:b/>
                <w:sz w:val="21"/>
                <w:szCs w:val="21"/>
              </w:rPr>
              <w:t>表</w:t>
            </w:r>
            <w:r>
              <w:rPr>
                <w:rFonts w:hint="eastAsia"/>
                <w:b/>
                <w:sz w:val="21"/>
                <w:szCs w:val="21"/>
                <w:lang w:val="en-US" w:eastAsia="zh-CN"/>
              </w:rPr>
              <w:t>3-10</w:t>
            </w:r>
            <w:r>
              <w:rPr>
                <w:rFonts w:hint="eastAsia"/>
                <w:b/>
                <w:sz w:val="21"/>
                <w:szCs w:val="21"/>
              </w:rPr>
              <w:t xml:space="preserve"> 噪声排放标准一览表</w:t>
            </w:r>
          </w:p>
          <w:tbl>
            <w:tblPr>
              <w:tblStyle w:val="15"/>
              <w:tblW w:w="8386" w:type="dxa"/>
              <w:jc w:val="center"/>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7"/>
              <w:gridCol w:w="1280"/>
              <w:gridCol w:w="1345"/>
              <w:gridCol w:w="1759"/>
              <w:gridCol w:w="2995"/>
            </w:tblGrid>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PrEx>
              <w:trPr>
                <w:trHeight w:val="328" w:hRule="atLeast"/>
                <w:jc w:val="center"/>
              </w:trPr>
              <w:tc>
                <w:tcPr>
                  <w:tcW w:w="1007" w:type="dxa"/>
                  <w:vAlign w:val="center"/>
                </w:tcPr>
                <w:p>
                  <w:pPr>
                    <w:spacing w:line="240" w:lineRule="auto"/>
                    <w:ind w:firstLine="0" w:firstLineChars="0"/>
                    <w:jc w:val="center"/>
                    <w:rPr>
                      <w:b/>
                      <w:sz w:val="21"/>
                      <w:szCs w:val="21"/>
                    </w:rPr>
                  </w:pPr>
                  <w:r>
                    <w:rPr>
                      <w:b/>
                      <w:sz w:val="21"/>
                      <w:szCs w:val="21"/>
                    </w:rPr>
                    <w:t>类别</w:t>
                  </w:r>
                </w:p>
              </w:tc>
              <w:tc>
                <w:tcPr>
                  <w:tcW w:w="1280" w:type="dxa"/>
                  <w:vAlign w:val="center"/>
                </w:tcPr>
                <w:p>
                  <w:pPr>
                    <w:spacing w:line="240" w:lineRule="auto"/>
                    <w:ind w:firstLine="0" w:firstLineChars="0"/>
                    <w:jc w:val="center"/>
                    <w:rPr>
                      <w:b/>
                      <w:sz w:val="21"/>
                      <w:szCs w:val="21"/>
                    </w:rPr>
                  </w:pPr>
                  <w:r>
                    <w:rPr>
                      <w:b/>
                      <w:sz w:val="21"/>
                      <w:szCs w:val="21"/>
                    </w:rPr>
                    <w:t>阶段</w:t>
                  </w:r>
                </w:p>
              </w:tc>
              <w:tc>
                <w:tcPr>
                  <w:tcW w:w="1345" w:type="dxa"/>
                  <w:vAlign w:val="center"/>
                </w:tcPr>
                <w:p>
                  <w:pPr>
                    <w:spacing w:line="240" w:lineRule="auto"/>
                    <w:ind w:firstLine="0" w:firstLineChars="0"/>
                    <w:jc w:val="center"/>
                    <w:rPr>
                      <w:b/>
                      <w:sz w:val="21"/>
                      <w:szCs w:val="21"/>
                    </w:rPr>
                  </w:pPr>
                  <w:r>
                    <w:rPr>
                      <w:b/>
                      <w:sz w:val="21"/>
                      <w:szCs w:val="21"/>
                    </w:rPr>
                    <w:t>污染物名称</w:t>
                  </w:r>
                </w:p>
              </w:tc>
              <w:tc>
                <w:tcPr>
                  <w:tcW w:w="1759" w:type="dxa"/>
                  <w:vAlign w:val="center"/>
                </w:tcPr>
                <w:p>
                  <w:pPr>
                    <w:spacing w:line="240" w:lineRule="auto"/>
                    <w:ind w:firstLine="0" w:firstLineChars="0"/>
                    <w:jc w:val="center"/>
                    <w:rPr>
                      <w:b/>
                      <w:sz w:val="21"/>
                      <w:szCs w:val="21"/>
                    </w:rPr>
                  </w:pPr>
                  <w:r>
                    <w:rPr>
                      <w:b/>
                      <w:sz w:val="21"/>
                      <w:szCs w:val="21"/>
                    </w:rPr>
                    <w:t>标准值</w:t>
                  </w:r>
                </w:p>
              </w:tc>
              <w:tc>
                <w:tcPr>
                  <w:tcW w:w="2995" w:type="dxa"/>
                  <w:vAlign w:val="center"/>
                </w:tcPr>
                <w:p>
                  <w:pPr>
                    <w:spacing w:line="240" w:lineRule="auto"/>
                    <w:ind w:firstLine="0" w:firstLineChars="0"/>
                    <w:jc w:val="center"/>
                    <w:rPr>
                      <w:b/>
                      <w:sz w:val="21"/>
                      <w:szCs w:val="21"/>
                    </w:rPr>
                  </w:pPr>
                  <w:r>
                    <w:rPr>
                      <w:b/>
                      <w:sz w:val="21"/>
                      <w:szCs w:val="21"/>
                    </w:rPr>
                    <w:t>备注</w:t>
                  </w: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68" w:hRule="atLeast"/>
                <w:jc w:val="center"/>
              </w:trPr>
              <w:tc>
                <w:tcPr>
                  <w:tcW w:w="1007" w:type="dxa"/>
                  <w:vMerge w:val="restart"/>
                  <w:vAlign w:val="center"/>
                </w:tcPr>
                <w:p>
                  <w:pPr>
                    <w:topLinePunct/>
                    <w:adjustRightInd w:val="0"/>
                    <w:spacing w:line="0" w:lineRule="atLeast"/>
                    <w:ind w:firstLine="0" w:firstLineChars="0"/>
                    <w:jc w:val="center"/>
                    <w:textAlignment w:val="center"/>
                    <w:rPr>
                      <w:sz w:val="21"/>
                      <w:szCs w:val="21"/>
                    </w:rPr>
                  </w:pPr>
                  <w:r>
                    <w:rPr>
                      <w:sz w:val="21"/>
                      <w:szCs w:val="21"/>
                    </w:rPr>
                    <w:t>噪声</w:t>
                  </w:r>
                </w:p>
              </w:tc>
              <w:tc>
                <w:tcPr>
                  <w:tcW w:w="1280" w:type="dxa"/>
                  <w:vAlign w:val="center"/>
                </w:tcPr>
                <w:p>
                  <w:pPr>
                    <w:topLinePunct/>
                    <w:adjustRightInd w:val="0"/>
                    <w:spacing w:line="0" w:lineRule="atLeast"/>
                    <w:ind w:firstLine="0" w:firstLineChars="0"/>
                    <w:jc w:val="center"/>
                    <w:textAlignment w:val="center"/>
                    <w:rPr>
                      <w:sz w:val="21"/>
                      <w:szCs w:val="21"/>
                    </w:rPr>
                  </w:pPr>
                  <w:r>
                    <w:rPr>
                      <w:sz w:val="21"/>
                      <w:szCs w:val="21"/>
                    </w:rPr>
                    <w:t>运营期</w:t>
                  </w:r>
                  <w:r>
                    <w:rPr>
                      <w:rFonts w:hint="eastAsia"/>
                      <w:sz w:val="21"/>
                      <w:szCs w:val="21"/>
                      <w:lang w:eastAsia="zh-CN"/>
                    </w:rPr>
                    <w:t>东、南、北侧</w:t>
                  </w:r>
                </w:p>
              </w:tc>
              <w:tc>
                <w:tcPr>
                  <w:tcW w:w="1345" w:type="dxa"/>
                  <w:vMerge w:val="restart"/>
                  <w:vAlign w:val="center"/>
                </w:tcPr>
                <w:p>
                  <w:pPr>
                    <w:topLinePunct/>
                    <w:adjustRightInd w:val="0"/>
                    <w:spacing w:line="0" w:lineRule="atLeast"/>
                    <w:ind w:firstLine="0" w:firstLineChars="0"/>
                    <w:jc w:val="center"/>
                    <w:textAlignment w:val="center"/>
                    <w:rPr>
                      <w:sz w:val="21"/>
                      <w:szCs w:val="21"/>
                    </w:rPr>
                  </w:pPr>
                  <w:r>
                    <w:rPr>
                      <w:sz w:val="21"/>
                      <w:szCs w:val="21"/>
                    </w:rPr>
                    <w:t>等效连续A声级</w:t>
                  </w:r>
                </w:p>
              </w:tc>
              <w:tc>
                <w:tcPr>
                  <w:tcW w:w="1759" w:type="dxa"/>
                  <w:vAlign w:val="center"/>
                </w:tcPr>
                <w:p>
                  <w:pPr>
                    <w:topLinePunct/>
                    <w:adjustRightInd w:val="0"/>
                    <w:spacing w:line="0" w:lineRule="atLeast"/>
                    <w:ind w:firstLine="0" w:firstLineChars="0"/>
                    <w:jc w:val="center"/>
                    <w:textAlignment w:val="center"/>
                    <w:rPr>
                      <w:sz w:val="21"/>
                      <w:szCs w:val="21"/>
                    </w:rPr>
                  </w:pPr>
                  <w:r>
                    <w:rPr>
                      <w:sz w:val="21"/>
                      <w:szCs w:val="21"/>
                    </w:rPr>
                    <w:t>昼间≤</w:t>
                  </w:r>
                  <w:r>
                    <w:rPr>
                      <w:rFonts w:hint="eastAsia"/>
                      <w:sz w:val="21"/>
                      <w:szCs w:val="21"/>
                      <w:lang w:val="en-US" w:eastAsia="zh-CN"/>
                    </w:rPr>
                    <w:t>55</w:t>
                  </w:r>
                  <w:r>
                    <w:rPr>
                      <w:sz w:val="21"/>
                      <w:szCs w:val="21"/>
                    </w:rPr>
                    <w:t>dB(A)</w:t>
                  </w:r>
                </w:p>
                <w:p>
                  <w:pPr>
                    <w:topLinePunct/>
                    <w:adjustRightInd w:val="0"/>
                    <w:spacing w:line="0" w:lineRule="atLeast"/>
                    <w:ind w:firstLine="0" w:firstLineChars="0"/>
                    <w:jc w:val="center"/>
                    <w:textAlignment w:val="center"/>
                    <w:rPr>
                      <w:sz w:val="21"/>
                      <w:szCs w:val="21"/>
                    </w:rPr>
                  </w:pPr>
                  <w:r>
                    <w:rPr>
                      <w:sz w:val="21"/>
                      <w:szCs w:val="21"/>
                    </w:rPr>
                    <w:t>夜间≤</w:t>
                  </w:r>
                  <w:r>
                    <w:rPr>
                      <w:rFonts w:hint="eastAsia"/>
                      <w:sz w:val="21"/>
                      <w:szCs w:val="21"/>
                      <w:lang w:val="en-US" w:eastAsia="zh-CN"/>
                    </w:rPr>
                    <w:t>45</w:t>
                  </w:r>
                  <w:r>
                    <w:rPr>
                      <w:sz w:val="21"/>
                      <w:szCs w:val="21"/>
                    </w:rPr>
                    <w:t>dB(A)</w:t>
                  </w:r>
                </w:p>
              </w:tc>
              <w:tc>
                <w:tcPr>
                  <w:tcW w:w="2995" w:type="dxa"/>
                  <w:vAlign w:val="center"/>
                </w:tcPr>
                <w:p>
                  <w:pPr>
                    <w:topLinePunct/>
                    <w:adjustRightInd w:val="0"/>
                    <w:spacing w:line="0" w:lineRule="atLeast"/>
                    <w:ind w:firstLine="0" w:firstLineChars="0"/>
                    <w:jc w:val="center"/>
                    <w:textAlignment w:val="center"/>
                    <w:rPr>
                      <w:sz w:val="21"/>
                      <w:szCs w:val="21"/>
                    </w:rPr>
                  </w:pPr>
                  <w:r>
                    <w:rPr>
                      <w:sz w:val="21"/>
                      <w:szCs w:val="21"/>
                    </w:rPr>
                    <w:t>《工业企业厂界环境噪声排放标准》</w:t>
                  </w:r>
                </w:p>
                <w:p>
                  <w:pPr>
                    <w:topLinePunct/>
                    <w:adjustRightInd w:val="0"/>
                    <w:spacing w:line="0" w:lineRule="atLeast"/>
                    <w:ind w:firstLine="0" w:firstLineChars="0"/>
                    <w:jc w:val="center"/>
                    <w:textAlignment w:val="center"/>
                    <w:rPr>
                      <w:sz w:val="21"/>
                      <w:szCs w:val="21"/>
                    </w:rPr>
                  </w:pPr>
                  <w:r>
                    <w:rPr>
                      <w:sz w:val="21"/>
                      <w:szCs w:val="21"/>
                    </w:rPr>
                    <w:t>(GB12348-2008)</w:t>
                  </w:r>
                  <w:r>
                    <w:rPr>
                      <w:rFonts w:hint="eastAsia"/>
                      <w:sz w:val="21"/>
                      <w:szCs w:val="21"/>
                      <w:lang w:val="en-US" w:eastAsia="zh-CN"/>
                    </w:rPr>
                    <w:t>1</w:t>
                  </w:r>
                  <w:r>
                    <w:rPr>
                      <w:sz w:val="21"/>
                      <w:szCs w:val="21"/>
                    </w:rPr>
                    <w:t>类标准</w:t>
                  </w: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PrEx>
              <w:trPr>
                <w:trHeight w:val="668" w:hRule="atLeast"/>
                <w:jc w:val="center"/>
              </w:trPr>
              <w:tc>
                <w:tcPr>
                  <w:tcW w:w="1007" w:type="dxa"/>
                  <w:vMerge w:val="continue"/>
                  <w:vAlign w:val="center"/>
                </w:tcPr>
                <w:p>
                  <w:pPr>
                    <w:topLinePunct/>
                    <w:adjustRightInd w:val="0"/>
                    <w:spacing w:line="0" w:lineRule="atLeast"/>
                    <w:ind w:firstLine="0" w:firstLineChars="0"/>
                    <w:jc w:val="center"/>
                    <w:textAlignment w:val="center"/>
                    <w:rPr>
                      <w:sz w:val="21"/>
                      <w:szCs w:val="21"/>
                    </w:rPr>
                  </w:pPr>
                </w:p>
              </w:tc>
              <w:tc>
                <w:tcPr>
                  <w:tcW w:w="1280" w:type="dxa"/>
                  <w:vAlign w:val="center"/>
                </w:tcPr>
                <w:p>
                  <w:pPr>
                    <w:topLinePunct/>
                    <w:adjustRightInd w:val="0"/>
                    <w:spacing w:line="0" w:lineRule="atLeast"/>
                    <w:ind w:firstLine="0" w:firstLineChars="0"/>
                    <w:jc w:val="center"/>
                    <w:textAlignment w:val="center"/>
                    <w:rPr>
                      <w:sz w:val="21"/>
                      <w:szCs w:val="21"/>
                    </w:rPr>
                  </w:pPr>
                  <w:r>
                    <w:rPr>
                      <w:sz w:val="21"/>
                      <w:szCs w:val="21"/>
                    </w:rPr>
                    <w:t>运营期</w:t>
                  </w:r>
                  <w:r>
                    <w:rPr>
                      <w:rFonts w:hint="eastAsia"/>
                      <w:sz w:val="21"/>
                      <w:szCs w:val="21"/>
                      <w:lang w:eastAsia="zh-CN"/>
                    </w:rPr>
                    <w:t>西侧</w:t>
                  </w:r>
                </w:p>
              </w:tc>
              <w:tc>
                <w:tcPr>
                  <w:tcW w:w="1345" w:type="dxa"/>
                  <w:vMerge w:val="continue"/>
                  <w:vAlign w:val="center"/>
                </w:tcPr>
                <w:p>
                  <w:pPr>
                    <w:topLinePunct/>
                    <w:adjustRightInd w:val="0"/>
                    <w:spacing w:line="0" w:lineRule="atLeast"/>
                    <w:ind w:firstLine="0" w:firstLineChars="0"/>
                    <w:jc w:val="center"/>
                    <w:textAlignment w:val="center"/>
                    <w:rPr>
                      <w:sz w:val="21"/>
                      <w:szCs w:val="21"/>
                    </w:rPr>
                  </w:pPr>
                </w:p>
              </w:tc>
              <w:tc>
                <w:tcPr>
                  <w:tcW w:w="1759" w:type="dxa"/>
                  <w:vAlign w:val="center"/>
                </w:tcPr>
                <w:p>
                  <w:pPr>
                    <w:topLinePunct/>
                    <w:adjustRightInd w:val="0"/>
                    <w:spacing w:line="0" w:lineRule="atLeast"/>
                    <w:ind w:firstLine="0" w:firstLineChars="0"/>
                    <w:jc w:val="center"/>
                    <w:textAlignment w:val="center"/>
                    <w:rPr>
                      <w:sz w:val="21"/>
                      <w:szCs w:val="21"/>
                    </w:rPr>
                  </w:pPr>
                  <w:r>
                    <w:rPr>
                      <w:sz w:val="21"/>
                      <w:szCs w:val="21"/>
                    </w:rPr>
                    <w:t>昼间≤</w:t>
                  </w:r>
                  <w:r>
                    <w:rPr>
                      <w:rFonts w:hint="eastAsia"/>
                      <w:sz w:val="21"/>
                      <w:szCs w:val="21"/>
                      <w:lang w:val="en-US" w:eastAsia="zh-CN"/>
                    </w:rPr>
                    <w:t>70</w:t>
                  </w:r>
                  <w:r>
                    <w:rPr>
                      <w:sz w:val="21"/>
                      <w:szCs w:val="21"/>
                    </w:rPr>
                    <w:t>dB(A)</w:t>
                  </w:r>
                </w:p>
                <w:p>
                  <w:pPr>
                    <w:topLinePunct/>
                    <w:adjustRightInd w:val="0"/>
                    <w:spacing w:line="0" w:lineRule="atLeast"/>
                    <w:ind w:firstLine="0" w:firstLineChars="0"/>
                    <w:jc w:val="center"/>
                    <w:textAlignment w:val="center"/>
                    <w:rPr>
                      <w:sz w:val="21"/>
                      <w:szCs w:val="21"/>
                    </w:rPr>
                  </w:pPr>
                  <w:r>
                    <w:rPr>
                      <w:sz w:val="21"/>
                      <w:szCs w:val="21"/>
                    </w:rPr>
                    <w:t>夜间≤</w:t>
                  </w:r>
                  <w:r>
                    <w:rPr>
                      <w:rFonts w:hint="eastAsia"/>
                      <w:sz w:val="21"/>
                      <w:szCs w:val="21"/>
                      <w:lang w:val="en-US" w:eastAsia="zh-CN"/>
                    </w:rPr>
                    <w:t>55</w:t>
                  </w:r>
                  <w:r>
                    <w:rPr>
                      <w:sz w:val="21"/>
                      <w:szCs w:val="21"/>
                    </w:rPr>
                    <w:t>dB(A)</w:t>
                  </w:r>
                </w:p>
              </w:tc>
              <w:tc>
                <w:tcPr>
                  <w:tcW w:w="2995" w:type="dxa"/>
                  <w:vAlign w:val="center"/>
                </w:tcPr>
                <w:p>
                  <w:pPr>
                    <w:topLinePunct/>
                    <w:adjustRightInd w:val="0"/>
                    <w:spacing w:line="0" w:lineRule="atLeast"/>
                    <w:ind w:firstLine="0" w:firstLineChars="0"/>
                    <w:jc w:val="center"/>
                    <w:textAlignment w:val="center"/>
                    <w:rPr>
                      <w:sz w:val="21"/>
                      <w:szCs w:val="21"/>
                    </w:rPr>
                  </w:pPr>
                  <w:r>
                    <w:rPr>
                      <w:sz w:val="21"/>
                      <w:szCs w:val="21"/>
                    </w:rPr>
                    <w:t>《工业企业厂界环境噪声排放标准》</w:t>
                  </w:r>
                </w:p>
                <w:p>
                  <w:pPr>
                    <w:topLinePunct/>
                    <w:adjustRightInd w:val="0"/>
                    <w:spacing w:line="0" w:lineRule="atLeast"/>
                    <w:ind w:firstLine="0" w:firstLineChars="0"/>
                    <w:jc w:val="center"/>
                    <w:textAlignment w:val="center"/>
                    <w:rPr>
                      <w:sz w:val="21"/>
                      <w:szCs w:val="21"/>
                    </w:rPr>
                  </w:pPr>
                  <w:r>
                    <w:rPr>
                      <w:sz w:val="21"/>
                      <w:szCs w:val="21"/>
                    </w:rPr>
                    <w:t>(GB12348-2008)</w:t>
                  </w:r>
                  <w:r>
                    <w:rPr>
                      <w:rFonts w:hint="eastAsia"/>
                      <w:sz w:val="21"/>
                      <w:szCs w:val="21"/>
                      <w:lang w:val="en-US" w:eastAsia="zh-CN"/>
                    </w:rPr>
                    <w:t>4</w:t>
                  </w:r>
                  <w:r>
                    <w:rPr>
                      <w:sz w:val="21"/>
                      <w:szCs w:val="21"/>
                    </w:rPr>
                    <w:t>类标准</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eastAsia="宋体"/>
                <w:lang w:val="en-US" w:eastAsia="zh-CN"/>
              </w:rPr>
            </w:pPr>
            <w:r>
              <w:rPr>
                <w:rFonts w:hint="eastAsia"/>
                <w:lang w:val="en-US" w:eastAsia="zh-CN"/>
              </w:rPr>
              <w:t>3、</w:t>
            </w:r>
            <w:r>
              <w:rPr>
                <w:rFonts w:hint="eastAsia"/>
              </w:rPr>
              <w:t>项目污水处理站处理后出水水质执行</w:t>
            </w:r>
            <w:r>
              <w:rPr>
                <w:rFonts w:hint="default" w:ascii="Times New Roman" w:hAnsi="Times New Roman" w:eastAsia="宋体" w:cs="Times New Roman"/>
                <w:color w:val="auto"/>
                <w:sz w:val="24"/>
                <w:szCs w:val="24"/>
              </w:rPr>
              <w:t>河北省《农村生活污水排放标准》（DB13/2171-2020）一级标准及</w:t>
            </w:r>
            <w:r>
              <w:rPr>
                <w:rFonts w:hint="default"/>
                <w:lang w:val="en-US" w:eastAsia="zh-CN"/>
              </w:rPr>
              <w:t>《农田灌溉水质标准》（GB5084-20</w:t>
            </w:r>
            <w:r>
              <w:rPr>
                <w:rFonts w:hint="eastAsia"/>
                <w:lang w:val="en-US" w:eastAsia="zh-CN"/>
              </w:rPr>
              <w:t>21</w:t>
            </w:r>
            <w:r>
              <w:rPr>
                <w:rFonts w:hint="default"/>
                <w:lang w:val="en-US" w:eastAsia="zh-CN"/>
              </w:rPr>
              <w:t>）表1中蔬菜限值</w:t>
            </w:r>
            <w:r>
              <w:rPr>
                <w:rFonts w:hint="eastAsia"/>
                <w:color w:val="auto"/>
                <w:sz w:val="24"/>
                <w:lang w:val="en-US" w:eastAsia="zh-CN"/>
              </w:rPr>
              <w:t>。</w:t>
            </w:r>
          </w:p>
          <w:p>
            <w:pPr>
              <w:spacing w:line="360" w:lineRule="auto"/>
              <w:ind w:firstLine="0" w:firstLineChars="0"/>
              <w:jc w:val="center"/>
              <w:rPr>
                <w:sz w:val="21"/>
                <w:szCs w:val="21"/>
              </w:rPr>
            </w:pPr>
            <w:r>
              <w:rPr>
                <w:b/>
                <w:color w:val="000000" w:themeColor="text1"/>
                <w:sz w:val="21"/>
                <w:szCs w:val="21"/>
                <w14:textFill>
                  <w14:solidFill>
                    <w14:schemeClr w14:val="tx1"/>
                  </w14:solidFill>
                </w14:textFill>
              </w:rPr>
              <w:t>表</w:t>
            </w:r>
            <w:r>
              <w:rPr>
                <w:rFonts w:hint="eastAsia"/>
                <w:b/>
                <w:color w:val="000000" w:themeColor="text1"/>
                <w:sz w:val="21"/>
                <w:szCs w:val="21"/>
                <w:lang w:val="en-US" w:eastAsia="zh-CN"/>
                <w14:textFill>
                  <w14:solidFill>
                    <w14:schemeClr w14:val="tx1"/>
                  </w14:solidFill>
                </w14:textFill>
              </w:rPr>
              <w:t xml:space="preserve">3-11  </w:t>
            </w:r>
            <w:r>
              <w:rPr>
                <w:rFonts w:hint="eastAsia"/>
                <w:b/>
                <w:color w:val="000000" w:themeColor="text1"/>
                <w:sz w:val="21"/>
                <w:szCs w:val="21"/>
                <w:lang w:eastAsia="zh-CN"/>
                <w14:textFill>
                  <w14:solidFill>
                    <w14:schemeClr w14:val="tx1"/>
                  </w14:solidFill>
                </w14:textFill>
              </w:rPr>
              <w:t>排放标准</w:t>
            </w:r>
            <w:r>
              <w:rPr>
                <w:rFonts w:hint="eastAsia"/>
                <w:b/>
                <w:color w:val="000000" w:themeColor="text1"/>
                <w:sz w:val="21"/>
                <w:szCs w:val="21"/>
                <w14:textFill>
                  <w14:solidFill>
                    <w14:schemeClr w14:val="tx1"/>
                  </w14:solidFill>
                </w14:textFill>
              </w:rPr>
              <w:t>限值情况表</w:t>
            </w:r>
            <w:r>
              <w:rPr>
                <w:b/>
                <w:color w:val="000000" w:themeColor="text1"/>
                <w:sz w:val="21"/>
                <w:szCs w:val="21"/>
                <w14:textFill>
                  <w14:solidFill>
                    <w14:schemeClr w14:val="tx1"/>
                  </w14:solidFill>
                </w14:textFill>
              </w:rPr>
              <w:t>（单位：mg/L）</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2002"/>
              <w:gridCol w:w="852"/>
              <w:gridCol w:w="2926"/>
              <w:gridCol w:w="2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4" w:hRule="atLeast"/>
                <w:jc w:val="center"/>
              </w:trPr>
              <w:tc>
                <w:tcPr>
                  <w:tcW w:w="254"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序号</w:t>
                  </w:r>
                </w:p>
              </w:tc>
              <w:tc>
                <w:tcPr>
                  <w:tcW w:w="1191"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基本控制项目</w:t>
                  </w:r>
                </w:p>
              </w:tc>
              <w:tc>
                <w:tcPr>
                  <w:tcW w:w="507"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单位</w:t>
                  </w:r>
                </w:p>
              </w:tc>
              <w:tc>
                <w:tcPr>
                  <w:tcW w:w="1741"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sz w:val="21"/>
                      <w:szCs w:val="21"/>
                      <w:lang w:eastAsia="zh-CN"/>
                    </w:rPr>
                    <w:t>DB13</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eastAsia="zh-CN"/>
                    </w:rPr>
                    <w:t>2171</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eastAsia="zh-CN"/>
                    </w:rPr>
                    <w:t>20</w:t>
                  </w:r>
                  <w:r>
                    <w:rPr>
                      <w:rFonts w:hint="default" w:ascii="Times New Roman" w:hAnsi="Times New Roman" w:eastAsia="宋体" w:cs="Times New Roman"/>
                      <w:b/>
                      <w:bCs/>
                      <w:color w:val="auto"/>
                      <w:sz w:val="21"/>
                      <w:szCs w:val="21"/>
                      <w:lang w:val="en-US" w:eastAsia="zh-CN"/>
                    </w:rPr>
                    <w:t>20</w:t>
                  </w:r>
                  <w:r>
                    <w:rPr>
                      <w:rFonts w:hint="default" w:ascii="Times New Roman" w:hAnsi="Times New Roman" w:eastAsia="宋体" w:cs="Times New Roman"/>
                      <w:b/>
                      <w:color w:val="auto"/>
                      <w:sz w:val="21"/>
                      <w:szCs w:val="21"/>
                    </w:rPr>
                    <w:t>（</w:t>
                  </w:r>
                  <w:r>
                    <w:rPr>
                      <w:rFonts w:hint="default" w:ascii="Times New Roman" w:hAnsi="Times New Roman" w:eastAsia="宋体" w:cs="Times New Roman"/>
                      <w:b/>
                      <w:color w:val="auto"/>
                      <w:sz w:val="21"/>
                      <w:szCs w:val="21"/>
                      <w:lang w:eastAsia="zh-CN"/>
                    </w:rPr>
                    <w:t>一级</w:t>
                  </w:r>
                  <w:r>
                    <w:rPr>
                      <w:rFonts w:hint="default" w:ascii="Times New Roman" w:hAnsi="Times New Roman" w:eastAsia="宋体" w:cs="Times New Roman"/>
                      <w:b/>
                      <w:bCs/>
                      <w:color w:val="auto"/>
                      <w:kern w:val="0"/>
                      <w:sz w:val="21"/>
                      <w:szCs w:val="21"/>
                    </w:rPr>
                    <w:t>标准</w:t>
                  </w:r>
                  <w:r>
                    <w:rPr>
                      <w:rFonts w:hint="default" w:ascii="Times New Roman" w:hAnsi="Times New Roman" w:eastAsia="宋体" w:cs="Times New Roman"/>
                      <w:b/>
                      <w:color w:val="auto"/>
                      <w:sz w:val="21"/>
                      <w:szCs w:val="21"/>
                    </w:rPr>
                    <w:t>）</w:t>
                  </w:r>
                </w:p>
              </w:tc>
              <w:tc>
                <w:tcPr>
                  <w:tcW w:w="1304" w:type="pct"/>
                  <w:vAlign w:val="center"/>
                </w:tcPr>
                <w:p>
                  <w:pPr>
                    <w:autoSpaceDE w:val="0"/>
                    <w:autoSpaceDN w:val="0"/>
                    <w:adjustRightInd w:val="0"/>
                    <w:spacing w:line="240" w:lineRule="auto"/>
                    <w:ind w:left="0" w:leftChars="0" w:right="0" w:rightChars="0" w:firstLine="0" w:firstLineChars="0"/>
                    <w:jc w:val="center"/>
                    <w:rPr>
                      <w:rFonts w:hint="default" w:ascii="Times New Roman" w:hAnsi="Times New Roman" w:eastAsia="宋体" w:cs="Times New Roman"/>
                      <w:b/>
                      <w:bCs/>
                      <w:color w:val="auto"/>
                      <w:sz w:val="21"/>
                      <w:szCs w:val="21"/>
                      <w:lang w:val="zh-CN" w:eastAsia="zh-CN" w:bidi="zh-CN"/>
                    </w:rPr>
                  </w:pPr>
                  <w:r>
                    <w:rPr>
                      <w:rFonts w:hint="default"/>
                      <w:b/>
                      <w:bCs/>
                      <w:sz w:val="21"/>
                      <w:szCs w:val="21"/>
                      <w:lang w:val="en-US" w:eastAsia="zh-CN"/>
                    </w:rPr>
                    <w:t>（GB5084-20</w:t>
                  </w:r>
                  <w:r>
                    <w:rPr>
                      <w:rFonts w:hint="eastAsia"/>
                      <w:b/>
                      <w:bCs/>
                      <w:sz w:val="21"/>
                      <w:szCs w:val="21"/>
                      <w:lang w:val="en-US" w:eastAsia="zh-CN"/>
                    </w:rPr>
                    <w:t>21</w:t>
                  </w:r>
                  <w:r>
                    <w:rPr>
                      <w:rFonts w:hint="default"/>
                      <w:b/>
                      <w:bCs/>
                      <w:sz w:val="21"/>
                      <w:szCs w:val="21"/>
                      <w:lang w:val="en-US" w:eastAsia="zh-CN"/>
                    </w:rPr>
                    <w:t>）</w:t>
                  </w:r>
                  <w:r>
                    <w:rPr>
                      <w:rFonts w:hint="eastAsia"/>
                      <w:b/>
                      <w:bCs/>
                      <w:sz w:val="21"/>
                      <w:szCs w:val="21"/>
                      <w:lang w:val="en-US" w:eastAsia="zh-CN"/>
                    </w:rPr>
                    <w:t>蔬菜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54"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191"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kern w:val="0"/>
                      <w:sz w:val="21"/>
                      <w:szCs w:val="21"/>
                    </w:rPr>
                    <w:t>pH</w:t>
                  </w:r>
                </w:p>
              </w:tc>
              <w:tc>
                <w:tcPr>
                  <w:tcW w:w="507"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无量纲</w:t>
                  </w:r>
                </w:p>
              </w:tc>
              <w:tc>
                <w:tcPr>
                  <w:tcW w:w="1741"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rPr>
                    <w:t>6-9</w:t>
                  </w:r>
                </w:p>
              </w:tc>
              <w:tc>
                <w:tcPr>
                  <w:tcW w:w="1304" w:type="pct"/>
                  <w:vAlign w:val="center"/>
                </w:tcPr>
                <w:p>
                  <w:pPr>
                    <w:autoSpaceDE w:val="0"/>
                    <w:autoSpaceDN w:val="0"/>
                    <w:adjustRightIn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lang w:val="en-US" w:eastAsia="zh-CN" w:bidi="zh-CN"/>
                    </w:rPr>
                  </w:pPr>
                  <w:r>
                    <w:rPr>
                      <w:rFonts w:hint="eastAsia" w:cs="Times New Roman"/>
                      <w:bCs/>
                      <w:color w:val="auto"/>
                      <w:kern w:val="0"/>
                      <w:sz w:val="21"/>
                      <w:szCs w:val="21"/>
                      <w:lang w:val="en-US" w:eastAsia="zh-CN"/>
                    </w:rPr>
                    <w:t>5.5-8.5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jc w:val="center"/>
              </w:trPr>
              <w:tc>
                <w:tcPr>
                  <w:tcW w:w="254" w:type="pct"/>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val="en-US" w:eastAsia="zh-CN"/>
                    </w:rPr>
                    <w:t>2</w:t>
                  </w:r>
                </w:p>
              </w:tc>
              <w:tc>
                <w:tcPr>
                  <w:tcW w:w="1191"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化学需氧量（COD）</w:t>
                  </w:r>
                </w:p>
              </w:tc>
              <w:tc>
                <w:tcPr>
                  <w:tcW w:w="507"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mg/L</w:t>
                  </w:r>
                </w:p>
              </w:tc>
              <w:tc>
                <w:tcPr>
                  <w:tcW w:w="1741"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50</w:t>
                  </w:r>
                </w:p>
              </w:tc>
              <w:tc>
                <w:tcPr>
                  <w:tcW w:w="1304" w:type="pct"/>
                  <w:vAlign w:val="center"/>
                </w:tcPr>
                <w:p>
                  <w:pPr>
                    <w:autoSpaceDE w:val="0"/>
                    <w:autoSpaceDN w:val="0"/>
                    <w:adjustRightIn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lang w:val="en-US" w:eastAsia="zh-CN" w:bidi="zh-CN"/>
                    </w:rPr>
                  </w:pPr>
                  <w:r>
                    <w:rPr>
                      <w:rFonts w:hint="eastAsia" w:cs="Times New Roman"/>
                      <w:bCs/>
                      <w:color w:val="auto"/>
                      <w:kern w:val="0"/>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54" w:type="pct"/>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w:t>
                  </w:r>
                </w:p>
              </w:tc>
              <w:tc>
                <w:tcPr>
                  <w:tcW w:w="1191"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生化需氧量（BOD</w:t>
                  </w:r>
                  <w:r>
                    <w:rPr>
                      <w:rFonts w:hint="default" w:ascii="Times New Roman" w:hAnsi="Times New Roman" w:eastAsia="宋体" w:cs="Times New Roman"/>
                      <w:bCs/>
                      <w:color w:val="auto"/>
                      <w:kern w:val="0"/>
                      <w:sz w:val="21"/>
                      <w:szCs w:val="21"/>
                      <w:vertAlign w:val="subscript"/>
                    </w:rPr>
                    <w:t>5</w:t>
                  </w:r>
                  <w:r>
                    <w:rPr>
                      <w:rFonts w:hint="default" w:ascii="Times New Roman" w:hAnsi="Times New Roman" w:eastAsia="宋体" w:cs="Times New Roman"/>
                      <w:bCs/>
                      <w:color w:val="auto"/>
                      <w:kern w:val="0"/>
                      <w:sz w:val="21"/>
                      <w:szCs w:val="21"/>
                    </w:rPr>
                    <w:t>）</w:t>
                  </w:r>
                </w:p>
              </w:tc>
              <w:tc>
                <w:tcPr>
                  <w:tcW w:w="507"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mg/L</w:t>
                  </w:r>
                </w:p>
              </w:tc>
              <w:tc>
                <w:tcPr>
                  <w:tcW w:w="1741"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bCs/>
                      <w:color w:val="auto"/>
                      <w:kern w:val="0"/>
                      <w:sz w:val="21"/>
                      <w:szCs w:val="21"/>
                      <w:lang w:val="en-US" w:eastAsia="zh-CN"/>
                    </w:rPr>
                    <w:t>/</w:t>
                  </w:r>
                </w:p>
              </w:tc>
              <w:tc>
                <w:tcPr>
                  <w:tcW w:w="1304" w:type="pct"/>
                  <w:vAlign w:val="center"/>
                </w:tcPr>
                <w:p>
                  <w:pPr>
                    <w:autoSpaceDE w:val="0"/>
                    <w:autoSpaceDN w:val="0"/>
                    <w:adjustRightIn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lang w:val="en-US" w:eastAsia="zh-CN" w:bidi="zh-CN"/>
                    </w:rPr>
                  </w:pPr>
                  <w:r>
                    <w:rPr>
                      <w:rFonts w:hint="eastAsia" w:cs="Times New Roman"/>
                      <w:bCs/>
                      <w:color w:val="auto"/>
                      <w:kern w:val="0"/>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jc w:val="center"/>
              </w:trPr>
              <w:tc>
                <w:tcPr>
                  <w:tcW w:w="254" w:type="pct"/>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w:t>
                  </w:r>
                </w:p>
              </w:tc>
              <w:tc>
                <w:tcPr>
                  <w:tcW w:w="1191"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悬浮物（SS）</w:t>
                  </w:r>
                </w:p>
              </w:tc>
              <w:tc>
                <w:tcPr>
                  <w:tcW w:w="507"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mg/L</w:t>
                  </w:r>
                </w:p>
              </w:tc>
              <w:tc>
                <w:tcPr>
                  <w:tcW w:w="1741"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10</w:t>
                  </w:r>
                </w:p>
              </w:tc>
              <w:tc>
                <w:tcPr>
                  <w:tcW w:w="1304" w:type="pct"/>
                  <w:vAlign w:val="center"/>
                </w:tcPr>
                <w:p>
                  <w:pPr>
                    <w:autoSpaceDE w:val="0"/>
                    <w:autoSpaceDN w:val="0"/>
                    <w:adjustRightIn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lang w:val="en-US" w:eastAsia="zh-CN" w:bidi="zh-CN"/>
                    </w:rPr>
                  </w:pPr>
                  <w:r>
                    <w:rPr>
                      <w:rFonts w:hint="eastAsia" w:cs="Times New Roman"/>
                      <w:bCs/>
                      <w:color w:val="auto"/>
                      <w:kern w:val="0"/>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jc w:val="center"/>
              </w:trPr>
              <w:tc>
                <w:tcPr>
                  <w:tcW w:w="254" w:type="pct"/>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w:t>
                  </w:r>
                </w:p>
              </w:tc>
              <w:tc>
                <w:tcPr>
                  <w:tcW w:w="1191"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氨氮（以N计）</w:t>
                  </w:r>
                </w:p>
              </w:tc>
              <w:tc>
                <w:tcPr>
                  <w:tcW w:w="507"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mg/L</w:t>
                  </w:r>
                </w:p>
              </w:tc>
              <w:tc>
                <w:tcPr>
                  <w:tcW w:w="1741"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5（8）</w:t>
                  </w:r>
                </w:p>
              </w:tc>
              <w:tc>
                <w:tcPr>
                  <w:tcW w:w="1304" w:type="pct"/>
                  <w:vAlign w:val="center"/>
                </w:tcPr>
                <w:p>
                  <w:pPr>
                    <w:autoSpaceDE w:val="0"/>
                    <w:autoSpaceDN w:val="0"/>
                    <w:adjustRightIn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lang w:val="en-US" w:eastAsia="zh-CN" w:bidi="zh-CN"/>
                    </w:rPr>
                  </w:pPr>
                  <w:r>
                    <w:rPr>
                      <w:rFonts w:hint="eastAsia" w:cs="Times New Roman"/>
                      <w:bCs/>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jc w:val="center"/>
              </w:trPr>
              <w:tc>
                <w:tcPr>
                  <w:tcW w:w="254" w:type="pct"/>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6</w:t>
                  </w:r>
                </w:p>
              </w:tc>
              <w:tc>
                <w:tcPr>
                  <w:tcW w:w="1191"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总氮（以N计）</w:t>
                  </w:r>
                </w:p>
              </w:tc>
              <w:tc>
                <w:tcPr>
                  <w:tcW w:w="507"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mg/L</w:t>
                  </w:r>
                </w:p>
              </w:tc>
              <w:tc>
                <w:tcPr>
                  <w:tcW w:w="1741"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15</w:t>
                  </w:r>
                </w:p>
              </w:tc>
              <w:tc>
                <w:tcPr>
                  <w:tcW w:w="1304" w:type="pct"/>
                  <w:vAlign w:val="center"/>
                </w:tcPr>
                <w:p>
                  <w:pPr>
                    <w:autoSpaceDE w:val="0"/>
                    <w:autoSpaceDN w:val="0"/>
                    <w:adjustRightIn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lang w:val="en-US" w:eastAsia="zh-CN" w:bidi="zh-CN"/>
                    </w:rPr>
                  </w:pPr>
                  <w:r>
                    <w:rPr>
                      <w:rFonts w:hint="eastAsia" w:cs="Times New Roman"/>
                      <w:bCs/>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jc w:val="center"/>
              </w:trPr>
              <w:tc>
                <w:tcPr>
                  <w:tcW w:w="254" w:type="pct"/>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7</w:t>
                  </w:r>
                </w:p>
              </w:tc>
              <w:tc>
                <w:tcPr>
                  <w:tcW w:w="1191"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总磷（以P计）</w:t>
                  </w:r>
                </w:p>
              </w:tc>
              <w:tc>
                <w:tcPr>
                  <w:tcW w:w="507"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mg/L</w:t>
                  </w:r>
                </w:p>
              </w:tc>
              <w:tc>
                <w:tcPr>
                  <w:tcW w:w="1741"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0.5</w:t>
                  </w:r>
                </w:p>
              </w:tc>
              <w:tc>
                <w:tcPr>
                  <w:tcW w:w="1304" w:type="pct"/>
                  <w:vAlign w:val="center"/>
                </w:tcPr>
                <w:p>
                  <w:pPr>
                    <w:autoSpaceDE w:val="0"/>
                    <w:autoSpaceDN w:val="0"/>
                    <w:adjustRightIn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lang w:val="en-US" w:eastAsia="zh-CN" w:bidi="zh-CN"/>
                    </w:rPr>
                  </w:pPr>
                  <w:r>
                    <w:rPr>
                      <w:rFonts w:hint="eastAsia" w:cs="Times New Roman"/>
                      <w:bCs/>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jc w:val="center"/>
              </w:trPr>
              <w:tc>
                <w:tcPr>
                  <w:tcW w:w="254" w:type="pct"/>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8</w:t>
                  </w:r>
                </w:p>
              </w:tc>
              <w:tc>
                <w:tcPr>
                  <w:tcW w:w="1191"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kern w:val="0"/>
                      <w:sz w:val="21"/>
                      <w:szCs w:val="21"/>
                    </w:rPr>
                    <w:t>总余氯（mg/L）</w:t>
                  </w:r>
                </w:p>
              </w:tc>
              <w:tc>
                <w:tcPr>
                  <w:tcW w:w="507"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mg/L</w:t>
                  </w:r>
                </w:p>
              </w:tc>
              <w:tc>
                <w:tcPr>
                  <w:tcW w:w="1741"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kern w:val="0"/>
                      <w:sz w:val="21"/>
                      <w:szCs w:val="21"/>
                    </w:rPr>
                    <w:t>/</w:t>
                  </w:r>
                </w:p>
              </w:tc>
              <w:tc>
                <w:tcPr>
                  <w:tcW w:w="1304" w:type="pct"/>
                  <w:vAlign w:val="top"/>
                </w:tcPr>
                <w:p>
                  <w:pPr>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jc w:val="center"/>
              </w:trPr>
              <w:tc>
                <w:tcPr>
                  <w:tcW w:w="254"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9</w:t>
                  </w:r>
                </w:p>
              </w:tc>
              <w:tc>
                <w:tcPr>
                  <w:tcW w:w="1191"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动植物油 </w:t>
                  </w:r>
                </w:p>
              </w:tc>
              <w:tc>
                <w:tcPr>
                  <w:tcW w:w="507"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mg/L</w:t>
                  </w:r>
                </w:p>
              </w:tc>
              <w:tc>
                <w:tcPr>
                  <w:tcW w:w="1741" w:type="pct"/>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1304" w:type="pct"/>
                  <w:vAlign w:val="top"/>
                </w:tcPr>
                <w:p>
                  <w:pPr>
                    <w:rPr>
                      <w:rFonts w:hint="default" w:ascii="Times New Roman" w:hAnsi="Times New Roman" w:eastAsia="宋体" w:cs="Times New Roman"/>
                      <w:color w:val="auto"/>
                      <w:kern w:val="0"/>
                      <w:sz w:val="21"/>
                      <w:szCs w:val="21"/>
                      <w:lang w:val="en-US" w:eastAsia="zh-CN"/>
                    </w:rPr>
                  </w:pPr>
                </w:p>
              </w:tc>
            </w:tr>
          </w:tbl>
          <w:p>
            <w:pPr>
              <w:spacing w:before="156" w:beforeLines="50" w:line="360" w:lineRule="auto"/>
              <w:ind w:firstLine="480"/>
              <w:rPr>
                <w:sz w:val="24"/>
                <w:szCs w:val="24"/>
              </w:rPr>
            </w:pPr>
            <w:r>
              <w:rPr>
                <w:szCs w:val="24"/>
              </w:rPr>
              <w:t>4</w:t>
            </w:r>
            <w:r>
              <w:rPr>
                <w:rFonts w:hint="eastAsia"/>
                <w:szCs w:val="24"/>
              </w:rPr>
              <w:t>、</w:t>
            </w:r>
            <w:r>
              <w:rPr>
                <w:szCs w:val="24"/>
              </w:rPr>
              <w:t>一般固体废物的贮存执行《一般工业固体废物贮存、处置场污染控制标准》（GB18599-2001）及环境保护部公告2013年第36号国家污染物控制标准修改单</w:t>
            </w:r>
            <w:r>
              <w:rPr>
                <w:rFonts w:hint="eastAsia"/>
                <w:szCs w:val="24"/>
              </w:rPr>
              <w:t>。</w:t>
            </w:r>
            <w:r>
              <w:rPr>
                <w:szCs w:val="24"/>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37" w:hRule="atLeast"/>
        </w:trPr>
        <w:tc>
          <w:tcPr>
            <w:tcW w:w="799" w:type="dxa"/>
            <w:tcBorders>
              <w:top w:val="single" w:color="000000" w:sz="4" w:space="0"/>
              <w:right w:val="single" w:color="000000" w:sz="4" w:space="0"/>
            </w:tcBorders>
            <w:vAlign w:val="center"/>
          </w:tcPr>
          <w:p>
            <w:pPr>
              <w:pStyle w:val="26"/>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sz w:val="24"/>
                <w:szCs w:val="24"/>
              </w:rPr>
            </w:pPr>
            <w:r>
              <w:rPr>
                <w:sz w:val="24"/>
                <w:szCs w:val="24"/>
              </w:rPr>
              <w:t>总量控制指标</w:t>
            </w:r>
          </w:p>
        </w:tc>
        <w:tc>
          <w:tcPr>
            <w:tcW w:w="8190"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color w:val="auto"/>
                <w:sz w:val="24"/>
              </w:rPr>
            </w:pPr>
            <w:r>
              <w:rPr>
                <w:color w:val="auto"/>
                <w:szCs w:val="24"/>
              </w:rPr>
              <w:t>根据《全国主要污染物排放总量控制计划》</w:t>
            </w:r>
            <w:r>
              <w:rPr>
                <w:rFonts w:hint="eastAsia"/>
                <w:color w:val="auto"/>
                <w:szCs w:val="24"/>
              </w:rPr>
              <w:t>，</w:t>
            </w:r>
            <w:r>
              <w:rPr>
                <w:color w:val="auto"/>
                <w:szCs w:val="24"/>
              </w:rPr>
              <w:t>并结合项目的排污状况，</w:t>
            </w:r>
            <w:r>
              <w:rPr>
                <w:color w:val="auto"/>
                <w:sz w:val="24"/>
              </w:rPr>
              <w:t>建议不给出污染物总量控制指标。</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color w:val="auto"/>
                <w:szCs w:val="24"/>
              </w:rPr>
            </w:pPr>
            <w:r>
              <w:rPr>
                <w:rFonts w:hint="eastAsia" w:ascii="Times New Roman" w:hAnsi="Times New Roman" w:eastAsia="宋体" w:cs="Times New Roman"/>
                <w:color w:val="auto"/>
                <w:sz w:val="24"/>
                <w:szCs w:val="24"/>
                <w:lang w:val="en-US" w:eastAsia="zh-CN"/>
              </w:rPr>
              <w:t>建议给出管理</w:t>
            </w:r>
            <w:r>
              <w:rPr>
                <w:rFonts w:hint="default" w:ascii="Times New Roman" w:hAnsi="Times New Roman" w:eastAsia="宋体" w:cs="Times New Roman"/>
                <w:color w:val="auto"/>
                <w:sz w:val="24"/>
                <w:szCs w:val="24"/>
                <w:lang w:val="en-US" w:eastAsia="zh-CN"/>
              </w:rPr>
              <w:t>指标为</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val="0"/>
                <w:color w:val="auto"/>
                <w:sz w:val="24"/>
                <w:szCs w:val="24"/>
              </w:rPr>
              <w:t>COD</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NH</w:t>
            </w:r>
            <w:r>
              <w:rPr>
                <w:rFonts w:hint="default" w:ascii="Times New Roman" w:hAnsi="Times New Roman" w:eastAsia="宋体" w:cs="Times New Roman"/>
                <w:b w:val="0"/>
                <w:bCs w:val="0"/>
                <w:color w:val="auto"/>
                <w:sz w:val="24"/>
                <w:szCs w:val="24"/>
                <w:vertAlign w:val="subscript"/>
              </w:rPr>
              <w:t>3</w:t>
            </w:r>
            <w:r>
              <w:rPr>
                <w:rFonts w:hint="default" w:ascii="Times New Roman" w:hAnsi="Times New Roman" w:eastAsia="宋体" w:cs="Times New Roman"/>
                <w:b w:val="0"/>
                <w:bCs w:val="0"/>
                <w:color w:val="auto"/>
                <w:sz w:val="24"/>
                <w:szCs w:val="24"/>
              </w:rPr>
              <w:t>-N</w:t>
            </w:r>
            <w:r>
              <w:rPr>
                <w:rFonts w:hint="eastAsia" w:ascii="Times New Roman" w:hAnsi="Times New Roman" w:eastAsia="宋体" w:cs="Times New Roman"/>
                <w:b w:val="0"/>
                <w:bCs w:val="0"/>
                <w:color w:val="auto"/>
                <w:sz w:val="24"/>
                <w:szCs w:val="24"/>
                <w:lang w:eastAsia="zh-CN"/>
              </w:rPr>
              <w:t>。</w:t>
            </w:r>
            <w:r>
              <w:rPr>
                <w:rFonts w:hint="eastAsia"/>
                <w:color w:val="auto"/>
                <w:szCs w:val="24"/>
              </w:rPr>
              <w:t>COD、</w:t>
            </w:r>
            <w:r>
              <w:rPr>
                <w:color w:val="auto"/>
                <w:szCs w:val="24"/>
              </w:rPr>
              <w:t>NH</w:t>
            </w:r>
            <w:r>
              <w:rPr>
                <w:color w:val="auto"/>
                <w:szCs w:val="24"/>
                <w:vertAlign w:val="subscript"/>
              </w:rPr>
              <w:t>3</w:t>
            </w:r>
            <w:r>
              <w:rPr>
                <w:color w:val="auto"/>
                <w:szCs w:val="24"/>
              </w:rPr>
              <w:t>-N</w:t>
            </w:r>
            <w:r>
              <w:rPr>
                <w:rFonts w:hint="eastAsia"/>
                <w:color w:val="auto"/>
                <w:szCs w:val="24"/>
              </w:rPr>
              <w:t>其管理排放总量核算情况列表如下：</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3-12</w:t>
            </w:r>
            <w:r>
              <w:rPr>
                <w:rFonts w:hint="default" w:ascii="Times New Roman" w:hAnsi="Times New Roman" w:eastAsia="宋体" w:cs="Times New Roman"/>
                <w:b/>
                <w:bCs/>
                <w:color w:val="auto"/>
                <w:sz w:val="21"/>
                <w:szCs w:val="21"/>
              </w:rPr>
              <w:t xml:space="preserve">   </w:t>
            </w:r>
            <w:r>
              <w:rPr>
                <w:rFonts w:hint="eastAsia" w:cs="Times New Roman"/>
                <w:b/>
                <w:bCs/>
                <w:color w:val="auto"/>
                <w:sz w:val="21"/>
                <w:szCs w:val="21"/>
                <w:lang w:val="en-US" w:eastAsia="zh-CN"/>
              </w:rPr>
              <w:t>沥水沟村村</w:t>
            </w:r>
            <w:r>
              <w:rPr>
                <w:rFonts w:hint="default" w:ascii="Times New Roman" w:hAnsi="Times New Roman" w:eastAsia="宋体" w:cs="Times New Roman"/>
                <w:b/>
                <w:bCs/>
                <w:color w:val="auto"/>
                <w:sz w:val="21"/>
                <w:szCs w:val="21"/>
              </w:rPr>
              <w:t>污染物总量</w:t>
            </w:r>
            <w:r>
              <w:rPr>
                <w:rFonts w:hint="eastAsia" w:cs="Times New Roman"/>
                <w:b/>
                <w:bCs/>
                <w:color w:val="auto"/>
                <w:sz w:val="21"/>
                <w:szCs w:val="21"/>
                <w:lang w:eastAsia="zh-CN"/>
              </w:rPr>
              <w:t>管理</w:t>
            </w:r>
            <w:r>
              <w:rPr>
                <w:rFonts w:hint="default" w:ascii="Times New Roman" w:hAnsi="Times New Roman" w:eastAsia="宋体" w:cs="Times New Roman"/>
                <w:b/>
                <w:bCs/>
                <w:color w:val="auto"/>
                <w:sz w:val="21"/>
                <w:szCs w:val="21"/>
              </w:rPr>
              <w:t>指标一览表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69"/>
              <w:gridCol w:w="2221"/>
              <w:gridCol w:w="1985"/>
              <w:gridCol w:w="1405"/>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55"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污染物种类</w:t>
                  </w:r>
                </w:p>
              </w:tc>
              <w:tc>
                <w:tcPr>
                  <w:tcW w:w="1321"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核算浓度（mg/L）</w:t>
                  </w:r>
                </w:p>
              </w:tc>
              <w:tc>
                <w:tcPr>
                  <w:tcW w:w="1181"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污水排放量（m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/a）</w:t>
                  </w:r>
                </w:p>
              </w:tc>
              <w:tc>
                <w:tcPr>
                  <w:tcW w:w="836"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排放量（t）</w:t>
                  </w:r>
                </w:p>
              </w:tc>
              <w:tc>
                <w:tcPr>
                  <w:tcW w:w="905"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总量</w:t>
                  </w:r>
                  <w:r>
                    <w:rPr>
                      <w:rFonts w:hint="eastAsia" w:cs="Times New Roman"/>
                      <w:b/>
                      <w:bCs/>
                      <w:color w:val="auto"/>
                      <w:sz w:val="21"/>
                      <w:szCs w:val="21"/>
                      <w:lang w:eastAsia="zh-CN"/>
                    </w:rPr>
                    <w:t>管理</w:t>
                  </w:r>
                  <w:r>
                    <w:rPr>
                      <w:rFonts w:hint="default" w:ascii="Times New Roman" w:hAnsi="Times New Roman" w:eastAsia="宋体" w:cs="Times New Roman"/>
                      <w:b/>
                      <w:bCs/>
                      <w:color w:val="auto"/>
                      <w:sz w:val="21"/>
                      <w:szCs w:val="21"/>
                    </w:rPr>
                    <w:t>指标（t/a）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55"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1321"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lang w:val="en-US" w:eastAsia="zh-CN"/>
                    </w:rPr>
                    <w:t>18250</w:t>
                  </w:r>
                </w:p>
              </w:tc>
              <w:tc>
                <w:tcPr>
                  <w:tcW w:w="1405"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rPr>
                  </w:pPr>
                  <w:r>
                    <w:rPr>
                      <w:rFonts w:hint="default"/>
                      <w:lang w:val="en-US" w:eastAsia="zh-CN"/>
                    </w:rPr>
                    <w:t>0.91</w:t>
                  </w:r>
                </w:p>
              </w:tc>
              <w:tc>
                <w:tcPr>
                  <w:tcW w:w="1522" w:type="dxa"/>
                  <w:noWrap w:val="0"/>
                  <w:vAlign w:val="center"/>
                </w:tcPr>
                <w:p>
                  <w:pPr>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rPr>
                  </w:pPr>
                  <w:r>
                    <w:rPr>
                      <w:rFonts w:hint="default"/>
                      <w:lang w:val="en-US" w:eastAsia="zh-CN"/>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55"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321"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lang w:val="en-US" w:eastAsia="zh-CN"/>
                    </w:rPr>
                    <w:t>18250</w:t>
                  </w:r>
                </w:p>
              </w:tc>
              <w:tc>
                <w:tcPr>
                  <w:tcW w:w="1405"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rPr>
                  </w:pPr>
                  <w:r>
                    <w:rPr>
                      <w:rFonts w:hint="default"/>
                      <w:lang w:val="en-US" w:eastAsia="zh-CN"/>
                    </w:rPr>
                    <w:t>0.09</w:t>
                  </w:r>
                </w:p>
              </w:tc>
              <w:tc>
                <w:tcPr>
                  <w:tcW w:w="1522" w:type="dxa"/>
                  <w:noWrap w:val="0"/>
                  <w:vAlign w:val="center"/>
                </w:tcPr>
                <w:p>
                  <w:pPr>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rPr>
                  </w:pPr>
                  <w:r>
                    <w:rPr>
                      <w:rFonts w:hint="default"/>
                      <w:lang w:val="en-US" w:eastAsia="zh-CN"/>
                    </w:rPr>
                    <w:t>0.09</w:t>
                  </w:r>
                </w:p>
              </w:tc>
            </w:tr>
          </w:tbl>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宋体"/>
                <w:sz w:val="24"/>
                <w:szCs w:val="24"/>
                <w:lang w:eastAsia="zh-CN"/>
              </w:rPr>
            </w:pPr>
          </w:p>
        </w:tc>
      </w:tr>
    </w:tbl>
    <w:p>
      <w:pPr>
        <w:spacing w:after="0"/>
        <w:jc w:val="right"/>
        <w:rPr>
          <w:sz w:val="21"/>
        </w:rPr>
        <w:sectPr>
          <w:footerReference r:id="rId7" w:type="default"/>
          <w:footerReference r:id="rId8" w:type="even"/>
          <w:pgSz w:w="11910" w:h="16850"/>
          <w:pgMar w:top="1600" w:right="1320" w:bottom="1000" w:left="1340" w:header="0" w:footer="817" w:gutter="0"/>
          <w:pgNumType w:start="7"/>
          <w:cols w:space="720" w:num="1"/>
        </w:sectPr>
      </w:pPr>
    </w:p>
    <w:p>
      <w:pPr>
        <w:pStyle w:val="3"/>
        <w:bidi w:val="0"/>
        <w:rPr>
          <w:sz w:val="21"/>
        </w:rPr>
      </w:pPr>
      <w:r>
        <w:rPr>
          <w:rFonts w:hint="eastAsia"/>
        </w:rPr>
        <w:t>四、主要环境影响和保护措施</w:t>
      </w:r>
    </w:p>
    <w:tbl>
      <w:tblPr>
        <w:tblStyle w:val="15"/>
        <w:tblW w:w="9090" w:type="dxa"/>
        <w:tblInd w:w="17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293"/>
        <w:gridCol w:w="879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0" w:hRule="atLeast"/>
        </w:trPr>
        <w:tc>
          <w:tcPr>
            <w:tcW w:w="531" w:type="dxa"/>
            <w:tcBorders>
              <w:bottom w:val="single" w:color="000000" w:sz="4" w:space="0"/>
              <w:right w:val="single" w:color="000000" w:sz="4" w:space="0"/>
            </w:tcBorders>
            <w:vAlign w:val="center"/>
          </w:tcPr>
          <w:p>
            <w:pPr>
              <w:pStyle w:val="26"/>
              <w:spacing w:before="157" w:line="242" w:lineRule="auto"/>
              <w:ind w:right="43"/>
              <w:jc w:val="center"/>
              <w:rPr>
                <w:sz w:val="24"/>
                <w:szCs w:val="24"/>
              </w:rPr>
            </w:pPr>
            <w:r>
              <w:rPr>
                <w:sz w:val="24"/>
                <w:szCs w:val="24"/>
              </w:rPr>
              <w:t>施工期环境保护措施</w:t>
            </w:r>
          </w:p>
        </w:tc>
        <w:tc>
          <w:tcPr>
            <w:tcW w:w="8559"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hint="default" w:ascii="Times New Roman" w:hAnsi="Times New Roman" w:cs="Times New Roman"/>
                <w:b/>
                <w:bCs/>
                <w:color w:val="auto"/>
                <w:sz w:val="24"/>
                <w:lang w:val="zh-CN"/>
              </w:rPr>
            </w:pPr>
            <w:r>
              <w:rPr>
                <w:rFonts w:hint="default" w:ascii="Times New Roman" w:hAnsi="Times New Roman" w:cs="Times New Roman"/>
                <w:b/>
                <w:bCs/>
                <w:color w:val="auto"/>
                <w:sz w:val="24"/>
                <w:lang w:val="zh-CN"/>
              </w:rPr>
              <w:t>1、施工期</w:t>
            </w:r>
            <w:r>
              <w:rPr>
                <w:rFonts w:hint="eastAsia" w:ascii="Times New Roman" w:hAnsi="Times New Roman" w:cs="Times New Roman"/>
                <w:b/>
                <w:bCs/>
                <w:color w:val="auto"/>
                <w:sz w:val="24"/>
                <w:lang w:val="zh-CN"/>
              </w:rPr>
              <w:t>废气</w:t>
            </w:r>
          </w:p>
          <w:p>
            <w:pPr>
              <w:keepNext w:val="0"/>
              <w:keepLines w:val="0"/>
              <w:pageBreakBefore w:val="0"/>
              <w:widowControl w:val="0"/>
              <w:kinsoku/>
              <w:wordWrap/>
              <w:overflowPunct/>
              <w:topLinePunct w:val="0"/>
              <w:autoSpaceDE w:val="0"/>
              <w:autoSpaceDN/>
              <w:bidi w:val="0"/>
              <w:adjustRightInd w:val="0"/>
              <w:snapToGrid w:val="0"/>
              <w:spacing w:line="500" w:lineRule="exact"/>
              <w:ind w:left="0" w:leftChars="0" w:right="0" w:rightChars="0" w:firstLine="480" w:firstLineChars="200"/>
              <w:jc w:val="left"/>
              <w:textAlignment w:val="auto"/>
              <w:outlineLvl w:val="9"/>
              <w:rPr>
                <w:color w:val="auto"/>
              </w:rPr>
            </w:pPr>
            <w:r>
              <w:rPr>
                <w:rFonts w:hint="eastAsia"/>
                <w:color w:val="auto"/>
                <w:lang w:val="en-US" w:eastAsia="zh-CN"/>
              </w:rPr>
              <w:t>本项目建设过程中大气污染源包括</w:t>
            </w:r>
            <w:r>
              <w:rPr>
                <w:rFonts w:hint="default" w:ascii="Times New Roman" w:hAnsi="Times New Roman" w:cs="Times New Roman"/>
                <w:color w:val="auto"/>
                <w:sz w:val="24"/>
                <w:szCs w:val="24"/>
                <w:highlight w:val="none"/>
              </w:rPr>
              <w:t>施工扬尘</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物料搬运及堆存扬尘、</w:t>
            </w:r>
            <w:r>
              <w:rPr>
                <w:rFonts w:hint="default" w:ascii="Times New Roman" w:hAnsi="Times New Roman" w:cs="Times New Roman"/>
                <w:color w:val="auto"/>
                <w:sz w:val="24"/>
                <w:szCs w:val="24"/>
                <w:highlight w:val="none"/>
              </w:rPr>
              <w:t>车辆运输扬尘</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机械燃油废气以及河道清淤、垃圾清除过程产生的恶臭</w:t>
            </w:r>
            <w:r>
              <w:rPr>
                <w:rFonts w:hint="eastAsia"/>
                <w:color w:val="auto"/>
                <w:lang w:val="en-US" w:eastAsia="zh-CN"/>
              </w:rPr>
              <w:t>。主要的大气污染物为</w:t>
            </w:r>
            <w:r>
              <w:rPr>
                <w:rFonts w:hint="default"/>
                <w:color w:val="auto"/>
                <w:lang w:val="en-US" w:eastAsia="zh-CN"/>
              </w:rPr>
              <w:t>TSP</w:t>
            </w:r>
            <w:r>
              <w:rPr>
                <w:rFonts w:hint="eastAsia"/>
                <w:color w:val="auto"/>
                <w:lang w:val="en-US" w:eastAsia="zh-CN"/>
              </w:rPr>
              <w:t>、</w:t>
            </w:r>
            <w:r>
              <w:rPr>
                <w:rFonts w:hint="default"/>
                <w:color w:val="auto"/>
                <w:lang w:val="en-US" w:eastAsia="zh-CN"/>
              </w:rPr>
              <w:t>CO</w:t>
            </w:r>
            <w:r>
              <w:rPr>
                <w:rFonts w:hint="eastAsia"/>
                <w:color w:val="auto"/>
                <w:lang w:val="en-US" w:eastAsia="zh-CN"/>
              </w:rPr>
              <w:t>、</w:t>
            </w:r>
            <w:r>
              <w:rPr>
                <w:rFonts w:hint="default"/>
                <w:color w:val="auto"/>
                <w:lang w:val="en-US" w:eastAsia="zh-CN"/>
              </w:rPr>
              <w:t>SO</w:t>
            </w:r>
            <w:r>
              <w:rPr>
                <w:rFonts w:hint="default"/>
                <w:color w:val="auto"/>
                <w:vertAlign w:val="subscript"/>
                <w:lang w:val="en-US" w:eastAsia="zh-CN"/>
              </w:rPr>
              <w:t>2</w:t>
            </w:r>
            <w:r>
              <w:rPr>
                <w:rFonts w:hint="eastAsia"/>
                <w:color w:val="auto"/>
                <w:lang w:val="en-US" w:eastAsia="zh-CN"/>
              </w:rPr>
              <w:t>、</w:t>
            </w:r>
            <w:r>
              <w:rPr>
                <w:rFonts w:hint="default"/>
                <w:color w:val="auto"/>
                <w:lang w:val="en-US" w:eastAsia="zh-CN"/>
              </w:rPr>
              <w:t>NOx</w:t>
            </w:r>
            <w:r>
              <w:rPr>
                <w:rFonts w:hint="eastAsia"/>
                <w:color w:val="auto"/>
                <w:lang w:val="en-US" w:eastAsia="zh-CN"/>
              </w:rPr>
              <w:t>、H</w:t>
            </w:r>
            <w:r>
              <w:rPr>
                <w:rFonts w:hint="eastAsia"/>
                <w:color w:val="auto"/>
                <w:vertAlign w:val="subscript"/>
                <w:lang w:val="en-US" w:eastAsia="zh-CN"/>
              </w:rPr>
              <w:t>2</w:t>
            </w:r>
            <w:r>
              <w:rPr>
                <w:rFonts w:hint="eastAsia"/>
                <w:color w:val="auto"/>
                <w:lang w:val="en-US" w:eastAsia="zh-CN"/>
              </w:rPr>
              <w:t>S、NH</w:t>
            </w:r>
            <w:r>
              <w:rPr>
                <w:rFonts w:hint="eastAsia"/>
                <w:color w:val="auto"/>
                <w:vertAlign w:val="subscript"/>
                <w:lang w:val="en-US" w:eastAsia="zh-CN"/>
              </w:rPr>
              <w:t>3</w:t>
            </w:r>
            <w:r>
              <w:rPr>
                <w:rFonts w:hint="eastAsia"/>
                <w:color w:val="auto"/>
                <w:vertAlign w:val="baseline"/>
                <w:lang w:val="en-US" w:eastAsia="zh-CN"/>
              </w:rPr>
              <w:t>和臭气浓度</w:t>
            </w:r>
            <w:r>
              <w:rPr>
                <w:rFonts w:hint="eastAsia"/>
                <w:color w:val="auto"/>
                <w:lang w:val="en-US" w:eastAsia="zh-CN"/>
              </w:rPr>
              <w:t>等，其中以</w:t>
            </w:r>
            <w:r>
              <w:rPr>
                <w:rFonts w:hint="default"/>
                <w:color w:val="auto"/>
                <w:lang w:val="en-US" w:eastAsia="zh-CN"/>
              </w:rPr>
              <w:t>TSP</w:t>
            </w:r>
            <w:r>
              <w:rPr>
                <w:rFonts w:hint="eastAsia"/>
                <w:color w:val="auto"/>
                <w:lang w:val="en-US" w:eastAsia="zh-CN"/>
              </w:rPr>
              <w:t>对周围环境的影响较为突出。</w:t>
            </w:r>
          </w:p>
          <w:p>
            <w:pPr>
              <w:keepNext w:val="0"/>
              <w:keepLines w:val="0"/>
              <w:pageBreakBefore w:val="0"/>
              <w:widowControl w:val="0"/>
              <w:kinsoku/>
              <w:wordWrap/>
              <w:overflowPunct/>
              <w:topLinePunct w:val="0"/>
              <w:autoSpaceDE w:val="0"/>
              <w:autoSpaceDN/>
              <w:bidi w:val="0"/>
              <w:adjustRightInd w:val="0"/>
              <w:snapToGrid w:val="0"/>
              <w:spacing w:line="500" w:lineRule="exact"/>
              <w:ind w:left="0" w:leftChars="0" w:right="0" w:rightChars="0" w:firstLine="480" w:firstLineChars="200"/>
              <w:jc w:val="left"/>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1.1施工扬尘、物料搬运及堆存扬尘</w:t>
            </w:r>
          </w:p>
          <w:p>
            <w:pPr>
              <w:pStyle w:val="20"/>
              <w:keepNext w:val="0"/>
              <w:keepLines w:val="0"/>
              <w:pageBreakBefore w:val="0"/>
              <w:widowControl w:val="0"/>
              <w:kinsoku/>
              <w:wordWrap/>
              <w:overflowPunct/>
              <w:topLinePunct w:val="0"/>
              <w:autoSpaceDE w:val="0"/>
              <w:bidi w:val="0"/>
              <w:adjustRightInd w:val="0"/>
              <w:spacing w:line="500" w:lineRule="exact"/>
              <w:ind w:firstLine="480" w:firstLineChars="200"/>
              <w:jc w:val="left"/>
              <w:textAlignment w:val="auto"/>
              <w:rPr>
                <w:rFonts w:hint="eastAsia"/>
                <w:color w:val="auto"/>
                <w:lang w:val="en-US" w:eastAsia="zh-CN"/>
              </w:rPr>
            </w:pPr>
            <w:r>
              <w:rPr>
                <w:rFonts w:hint="eastAsia"/>
                <w:color w:val="auto"/>
                <w:lang w:val="en-US" w:eastAsia="zh-CN"/>
              </w:rPr>
              <w:t>对于整个施工期而言，主要污染源为土石方开挖、物料搬运及堆存、裸露表层土由于干燥及大风天气等产生的浮尘。</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color w:val="auto"/>
              </w:rPr>
            </w:pPr>
            <w:r>
              <w:rPr>
                <w:color w:val="auto"/>
              </w:rPr>
              <w:t>由于项目施工需要，临时施工区表层土壤需</w:t>
            </w:r>
            <w:r>
              <w:rPr>
                <w:rFonts w:hint="eastAsia"/>
                <w:color w:val="auto"/>
                <w:lang w:val="en-US" w:eastAsia="zh-CN"/>
              </w:rPr>
              <w:t>机械</w:t>
            </w:r>
            <w:r>
              <w:rPr>
                <w:color w:val="auto"/>
              </w:rPr>
              <w:t>开挖且临时堆放</w:t>
            </w:r>
            <w:r>
              <w:rPr>
                <w:rFonts w:hint="eastAsia"/>
                <w:color w:val="auto"/>
                <w:lang w:eastAsia="zh-CN"/>
              </w:rPr>
              <w:t>，</w:t>
            </w:r>
            <w:r>
              <w:rPr>
                <w:color w:val="auto"/>
              </w:rPr>
              <w:t>建筑材料也需</w:t>
            </w:r>
            <w:r>
              <w:rPr>
                <w:rFonts w:hint="eastAsia"/>
                <w:color w:val="auto"/>
                <w:lang w:val="en-US" w:eastAsia="zh-CN"/>
              </w:rPr>
              <w:t>露天</w:t>
            </w:r>
            <w:r>
              <w:rPr>
                <w:color w:val="auto"/>
              </w:rPr>
              <w:t>堆放</w:t>
            </w:r>
            <w:r>
              <w:rPr>
                <w:rFonts w:hint="eastAsia"/>
                <w:color w:val="auto"/>
                <w:lang w:eastAsia="zh-CN"/>
              </w:rPr>
              <w:t>，</w:t>
            </w:r>
            <w:r>
              <w:rPr>
                <w:color w:val="auto"/>
              </w:rPr>
              <w:t>临时</w:t>
            </w:r>
            <w:r>
              <w:rPr>
                <w:rFonts w:hint="eastAsia"/>
                <w:color w:val="auto"/>
                <w:lang w:val="en-US" w:eastAsia="zh-CN"/>
              </w:rPr>
              <w:t>弃土场等</w:t>
            </w:r>
            <w:r>
              <w:rPr>
                <w:color w:val="auto"/>
              </w:rPr>
              <w:t>在气候干燥又有风的情况下，</w:t>
            </w:r>
            <w:r>
              <w:rPr>
                <w:rFonts w:hint="eastAsia"/>
                <w:color w:val="auto"/>
                <w:lang w:val="en-US" w:eastAsia="zh-CN"/>
              </w:rPr>
              <w:t>均</w:t>
            </w:r>
            <w:r>
              <w:rPr>
                <w:color w:val="auto"/>
              </w:rPr>
              <w:t>会产生扬尘， 其扬尘量可按</w:t>
            </w:r>
            <w:r>
              <w:rPr>
                <w:rFonts w:hint="eastAsia"/>
                <w:color w:val="auto"/>
                <w:lang w:val="en-US" w:eastAsia="zh-CN"/>
              </w:rPr>
              <w:t>堆场</w:t>
            </w:r>
            <w:r>
              <w:rPr>
                <w:color w:val="auto"/>
              </w:rPr>
              <w:t>起尘经验公式计算：</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color w:val="auto"/>
              </w:rPr>
            </w:pPr>
            <w:r>
              <w:rPr>
                <w:color w:val="auto"/>
              </w:rPr>
              <w:t>Q=2.1（V</w:t>
            </w:r>
            <w:r>
              <w:rPr>
                <w:color w:val="auto"/>
                <w:vertAlign w:val="subscript"/>
              </w:rPr>
              <w:t>50</w:t>
            </w:r>
            <w:r>
              <w:rPr>
                <w:color w:val="auto"/>
              </w:rPr>
              <w:t>-V</w:t>
            </w:r>
            <w:r>
              <w:rPr>
                <w:color w:val="auto"/>
                <w:vertAlign w:val="subscript"/>
              </w:rPr>
              <w:t>0</w:t>
            </w:r>
            <w:r>
              <w:rPr>
                <w:color w:val="auto"/>
              </w:rPr>
              <w:t>）</w:t>
            </w:r>
            <w:r>
              <w:rPr>
                <w:color w:val="auto"/>
                <w:vertAlign w:val="superscript"/>
              </w:rPr>
              <w:t>3</w:t>
            </w:r>
            <w:r>
              <w:rPr>
                <w:color w:val="auto"/>
              </w:rPr>
              <w:t>e</w:t>
            </w:r>
            <w:r>
              <w:rPr>
                <w:color w:val="auto"/>
                <w:vertAlign w:val="superscript"/>
              </w:rPr>
              <w:t>-1.023W</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color w:val="auto"/>
              </w:rPr>
            </w:pPr>
            <w:r>
              <w:rPr>
                <w:color w:val="auto"/>
              </w:rPr>
              <w:t>式中</w:t>
            </w:r>
            <w:r>
              <w:rPr>
                <w:rFonts w:hint="eastAsia"/>
                <w:color w:val="auto"/>
                <w:lang w:eastAsia="zh-CN"/>
              </w:rPr>
              <w:t>：</w:t>
            </w:r>
            <w:r>
              <w:rPr>
                <w:color w:val="auto"/>
              </w:rPr>
              <w:t>Q—起尘量，kg/t.a；</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color w:val="auto"/>
                <w:lang w:val="en-US" w:eastAsia="zh-CN"/>
              </w:rPr>
            </w:pPr>
            <w:r>
              <w:rPr>
                <w:rFonts w:hint="eastAsia"/>
                <w:color w:val="auto"/>
                <w:lang w:val="en-US" w:eastAsia="zh-CN"/>
              </w:rPr>
              <w:t xml:space="preserve">            </w:t>
            </w:r>
            <w:r>
              <w:rPr>
                <w:color w:val="auto"/>
              </w:rPr>
              <w:t>V</w:t>
            </w:r>
            <w:r>
              <w:rPr>
                <w:rFonts w:hint="eastAsia"/>
                <w:color w:val="auto"/>
                <w:vertAlign w:val="subscript"/>
                <w:lang w:val="en-US" w:eastAsia="zh-CN"/>
              </w:rPr>
              <w:t>5</w:t>
            </w:r>
            <w:r>
              <w:rPr>
                <w:color w:val="auto"/>
                <w:vertAlign w:val="subscript"/>
              </w:rPr>
              <w:t>0</w:t>
            </w:r>
            <w:r>
              <w:rPr>
                <w:color w:val="auto"/>
              </w:rPr>
              <w:t>—</w:t>
            </w:r>
            <w:r>
              <w:rPr>
                <w:rFonts w:hint="eastAsia"/>
                <w:color w:val="auto"/>
                <w:lang w:val="en-US" w:eastAsia="zh-CN"/>
              </w:rPr>
              <w:t>距地面50m处风速，</w:t>
            </w:r>
            <w:r>
              <w:rPr>
                <w:color w:val="auto"/>
              </w:rPr>
              <w:t>m/s；</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color w:val="auto"/>
              </w:rPr>
            </w:pPr>
            <w:r>
              <w:rPr>
                <w:rFonts w:hint="eastAsia"/>
                <w:color w:val="auto"/>
                <w:lang w:val="en-US" w:eastAsia="zh-CN"/>
              </w:rPr>
              <w:t xml:space="preserve">   </w:t>
            </w:r>
            <w:r>
              <w:rPr>
                <w:color w:val="auto"/>
              </w:rPr>
              <w:t>V</w:t>
            </w:r>
            <w:r>
              <w:rPr>
                <w:color w:val="auto"/>
                <w:vertAlign w:val="subscript"/>
              </w:rPr>
              <w:t>0</w:t>
            </w:r>
            <w:r>
              <w:rPr>
                <w:color w:val="auto"/>
              </w:rPr>
              <w:t>—起尘风速，m/s；</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color w:val="auto"/>
              </w:rPr>
            </w:pPr>
            <w:r>
              <w:rPr>
                <w:color w:val="auto"/>
              </w:rPr>
              <w:t xml:space="preserve"> </w:t>
            </w:r>
            <w:r>
              <w:rPr>
                <w:rFonts w:hint="eastAsia"/>
                <w:color w:val="auto"/>
                <w:lang w:val="en-US" w:eastAsia="zh-CN"/>
              </w:rPr>
              <w:t xml:space="preserve">     </w:t>
            </w:r>
            <w:r>
              <w:rPr>
                <w:color w:val="auto"/>
              </w:rPr>
              <w:t>W—尘粒的含水率，%。</w:t>
            </w:r>
          </w:p>
          <w:p>
            <w:pPr>
              <w:pStyle w:val="20"/>
              <w:keepNext w:val="0"/>
              <w:keepLines w:val="0"/>
              <w:pageBreakBefore w:val="0"/>
              <w:widowControl w:val="0"/>
              <w:kinsoku/>
              <w:wordWrap/>
              <w:overflowPunct/>
              <w:topLinePunct w:val="0"/>
              <w:autoSpaceDE w:val="0"/>
              <w:bidi w:val="0"/>
              <w:adjustRightInd w:val="0"/>
              <w:spacing w:line="500" w:lineRule="exact"/>
              <w:ind w:firstLine="480" w:firstLineChars="200"/>
              <w:jc w:val="left"/>
              <w:textAlignment w:val="auto"/>
              <w:rPr>
                <w:rFonts w:hint="eastAsia"/>
                <w:color w:val="auto"/>
                <w:sz w:val="21"/>
                <w:szCs w:val="21"/>
                <w:lang w:val="en-US" w:eastAsia="zh-CN"/>
              </w:rPr>
            </w:pPr>
            <w:r>
              <w:rPr>
                <w:rFonts w:hint="eastAsia"/>
                <w:color w:val="auto"/>
                <w:lang w:val="en-US" w:eastAsia="zh-CN"/>
              </w:rPr>
              <w:t>施工期扬尘量的产生主要与风速、粒径和含水量有关，粉尘在空气中的扩散稀释与风速等气象条件有关，也与粉尘本身的沉降速度有关。以粉尘为例，不同粒径粉尘的沉降速度见下表：</w:t>
            </w:r>
          </w:p>
          <w:p>
            <w:pPr>
              <w:pStyle w:val="20"/>
              <w:keepNext w:val="0"/>
              <w:keepLines w:val="0"/>
              <w:pageBreakBefore w:val="0"/>
              <w:widowControl w:val="0"/>
              <w:kinsoku/>
              <w:wordWrap/>
              <w:overflowPunct/>
              <w:topLinePunct w:val="0"/>
              <w:autoSpaceDE w:val="0"/>
              <w:bidi w:val="0"/>
              <w:adjustRightInd w:val="0"/>
              <w:spacing w:line="500" w:lineRule="exact"/>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w:t>
            </w:r>
            <w:r>
              <w:rPr>
                <w:rFonts w:hint="eastAsia" w:cs="Times New Roman"/>
                <w:b/>
                <w:bCs/>
                <w:color w:val="auto"/>
                <w:sz w:val="21"/>
                <w:szCs w:val="21"/>
                <w:lang w:val="en-US" w:eastAsia="zh-CN"/>
              </w:rPr>
              <w:t>4-1</w:t>
            </w:r>
            <w:r>
              <w:rPr>
                <w:rFonts w:hint="default" w:ascii="Times New Roman" w:hAnsi="Times New Roman" w:cs="Times New Roman"/>
                <w:b/>
                <w:bCs/>
                <w:color w:val="auto"/>
                <w:sz w:val="21"/>
                <w:szCs w:val="21"/>
                <w:lang w:val="en-US" w:eastAsia="zh-CN"/>
              </w:rPr>
              <w:t xml:space="preserve">  不同粒径粉尘的沉降速度</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1092"/>
              <w:gridCol w:w="806"/>
              <w:gridCol w:w="1098"/>
              <w:gridCol w:w="1098"/>
              <w:gridCol w:w="1098"/>
              <w:gridCol w:w="1098"/>
              <w:gridCol w:w="1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7" w:type="pct"/>
                  <w:noWrap w:val="0"/>
                  <w:vAlign w:val="center"/>
                </w:tcPr>
                <w:p>
                  <w:pPr>
                    <w:pStyle w:val="36"/>
                    <w:bidi w:val="0"/>
                    <w:jc w:val="center"/>
                    <w:rPr>
                      <w:rFonts w:hint="default"/>
                      <w:color w:val="auto"/>
                      <w:sz w:val="21"/>
                      <w:szCs w:val="21"/>
                      <w:lang w:val="en-US" w:eastAsia="zh-CN"/>
                    </w:rPr>
                  </w:pPr>
                  <w:r>
                    <w:rPr>
                      <w:color w:val="auto"/>
                      <w:sz w:val="21"/>
                      <w:szCs w:val="21"/>
                    </w:rPr>
                    <w:t>粉尘粒（μm）</w:t>
                  </w:r>
                </w:p>
              </w:tc>
              <w:tc>
                <w:tcPr>
                  <w:tcW w:w="622" w:type="pct"/>
                  <w:noWrap w:val="0"/>
                  <w:vAlign w:val="center"/>
                </w:tcPr>
                <w:p>
                  <w:pPr>
                    <w:pStyle w:val="36"/>
                    <w:bidi w:val="0"/>
                    <w:jc w:val="center"/>
                    <w:rPr>
                      <w:rFonts w:hint="default"/>
                      <w:color w:val="auto"/>
                      <w:sz w:val="21"/>
                      <w:szCs w:val="21"/>
                      <w:lang w:val="en-US" w:eastAsia="zh-CN"/>
                    </w:rPr>
                  </w:pPr>
                  <w:r>
                    <w:rPr>
                      <w:color w:val="auto"/>
                      <w:sz w:val="21"/>
                      <w:szCs w:val="21"/>
                    </w:rPr>
                    <w:t>10</w:t>
                  </w:r>
                </w:p>
              </w:tc>
              <w:tc>
                <w:tcPr>
                  <w:tcW w:w="459" w:type="pct"/>
                  <w:noWrap w:val="0"/>
                  <w:vAlign w:val="center"/>
                </w:tcPr>
                <w:p>
                  <w:pPr>
                    <w:pStyle w:val="36"/>
                    <w:bidi w:val="0"/>
                    <w:jc w:val="center"/>
                    <w:rPr>
                      <w:rFonts w:hint="default"/>
                      <w:color w:val="auto"/>
                      <w:sz w:val="21"/>
                      <w:szCs w:val="21"/>
                      <w:lang w:val="en-US" w:eastAsia="zh-CN"/>
                    </w:rPr>
                  </w:pPr>
                  <w:r>
                    <w:rPr>
                      <w:color w:val="auto"/>
                      <w:sz w:val="21"/>
                      <w:szCs w:val="21"/>
                    </w:rPr>
                    <w:t>20</w:t>
                  </w:r>
                </w:p>
              </w:tc>
              <w:tc>
                <w:tcPr>
                  <w:tcW w:w="625" w:type="pct"/>
                  <w:noWrap w:val="0"/>
                  <w:vAlign w:val="center"/>
                </w:tcPr>
                <w:p>
                  <w:pPr>
                    <w:pStyle w:val="36"/>
                    <w:bidi w:val="0"/>
                    <w:jc w:val="center"/>
                    <w:rPr>
                      <w:rFonts w:hint="default"/>
                      <w:color w:val="auto"/>
                      <w:sz w:val="21"/>
                      <w:szCs w:val="21"/>
                      <w:lang w:val="en-US" w:eastAsia="zh-CN"/>
                    </w:rPr>
                  </w:pPr>
                  <w:r>
                    <w:rPr>
                      <w:color w:val="auto"/>
                      <w:sz w:val="21"/>
                      <w:szCs w:val="21"/>
                    </w:rPr>
                    <w:t>30</w:t>
                  </w:r>
                </w:p>
              </w:tc>
              <w:tc>
                <w:tcPr>
                  <w:tcW w:w="625" w:type="pct"/>
                  <w:noWrap w:val="0"/>
                  <w:vAlign w:val="center"/>
                </w:tcPr>
                <w:p>
                  <w:pPr>
                    <w:pStyle w:val="36"/>
                    <w:bidi w:val="0"/>
                    <w:jc w:val="center"/>
                    <w:rPr>
                      <w:rFonts w:hint="default"/>
                      <w:color w:val="auto"/>
                      <w:sz w:val="21"/>
                      <w:szCs w:val="21"/>
                      <w:lang w:val="en-US" w:eastAsia="zh-CN"/>
                    </w:rPr>
                  </w:pPr>
                  <w:r>
                    <w:rPr>
                      <w:color w:val="auto"/>
                      <w:sz w:val="21"/>
                      <w:szCs w:val="21"/>
                    </w:rPr>
                    <w:t>40</w:t>
                  </w:r>
                </w:p>
              </w:tc>
              <w:tc>
                <w:tcPr>
                  <w:tcW w:w="625" w:type="pct"/>
                  <w:noWrap w:val="0"/>
                  <w:vAlign w:val="center"/>
                </w:tcPr>
                <w:p>
                  <w:pPr>
                    <w:pStyle w:val="36"/>
                    <w:bidi w:val="0"/>
                    <w:jc w:val="center"/>
                    <w:rPr>
                      <w:rFonts w:hint="default"/>
                      <w:color w:val="auto"/>
                      <w:sz w:val="21"/>
                      <w:szCs w:val="21"/>
                      <w:lang w:val="en-US" w:eastAsia="zh-CN"/>
                    </w:rPr>
                  </w:pPr>
                  <w:r>
                    <w:rPr>
                      <w:color w:val="auto"/>
                      <w:sz w:val="21"/>
                      <w:szCs w:val="21"/>
                    </w:rPr>
                    <w:t>50</w:t>
                  </w:r>
                </w:p>
              </w:tc>
              <w:tc>
                <w:tcPr>
                  <w:tcW w:w="625" w:type="pct"/>
                  <w:noWrap w:val="0"/>
                  <w:vAlign w:val="center"/>
                </w:tcPr>
                <w:p>
                  <w:pPr>
                    <w:pStyle w:val="36"/>
                    <w:bidi w:val="0"/>
                    <w:jc w:val="center"/>
                    <w:rPr>
                      <w:rFonts w:hint="default"/>
                      <w:color w:val="auto"/>
                      <w:sz w:val="21"/>
                      <w:szCs w:val="21"/>
                      <w:lang w:val="en-US" w:eastAsia="zh-CN"/>
                    </w:rPr>
                  </w:pPr>
                  <w:r>
                    <w:rPr>
                      <w:color w:val="auto"/>
                      <w:sz w:val="21"/>
                      <w:szCs w:val="21"/>
                    </w:rPr>
                    <w:t>60</w:t>
                  </w:r>
                </w:p>
              </w:tc>
              <w:tc>
                <w:tcPr>
                  <w:tcW w:w="627" w:type="pct"/>
                  <w:noWrap w:val="0"/>
                  <w:vAlign w:val="center"/>
                </w:tcPr>
                <w:p>
                  <w:pPr>
                    <w:pStyle w:val="36"/>
                    <w:bidi w:val="0"/>
                    <w:jc w:val="center"/>
                    <w:rPr>
                      <w:rFonts w:hint="default"/>
                      <w:color w:val="auto"/>
                      <w:sz w:val="21"/>
                      <w:szCs w:val="21"/>
                      <w:lang w:val="en-US" w:eastAsia="zh-CN"/>
                    </w:rPr>
                  </w:pPr>
                  <w:r>
                    <w:rPr>
                      <w:color w:val="auto"/>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7" w:type="pct"/>
                  <w:noWrap w:val="0"/>
                  <w:vAlign w:val="center"/>
                </w:tcPr>
                <w:p>
                  <w:pPr>
                    <w:pStyle w:val="36"/>
                    <w:bidi w:val="0"/>
                    <w:jc w:val="center"/>
                    <w:rPr>
                      <w:rFonts w:hint="default"/>
                      <w:color w:val="auto"/>
                      <w:sz w:val="21"/>
                      <w:szCs w:val="21"/>
                      <w:lang w:val="en-US" w:eastAsia="zh-CN"/>
                    </w:rPr>
                  </w:pPr>
                  <w:r>
                    <w:rPr>
                      <w:color w:val="auto"/>
                      <w:sz w:val="21"/>
                      <w:szCs w:val="21"/>
                    </w:rPr>
                    <w:t>沉降速（m/s）</w:t>
                  </w:r>
                </w:p>
              </w:tc>
              <w:tc>
                <w:tcPr>
                  <w:tcW w:w="622" w:type="pct"/>
                  <w:noWrap w:val="0"/>
                  <w:vAlign w:val="center"/>
                </w:tcPr>
                <w:p>
                  <w:pPr>
                    <w:pStyle w:val="36"/>
                    <w:bidi w:val="0"/>
                    <w:jc w:val="center"/>
                    <w:rPr>
                      <w:rFonts w:hint="default"/>
                      <w:color w:val="auto"/>
                      <w:sz w:val="21"/>
                      <w:szCs w:val="21"/>
                      <w:lang w:val="en-US" w:eastAsia="zh-CN"/>
                    </w:rPr>
                  </w:pPr>
                  <w:r>
                    <w:rPr>
                      <w:color w:val="auto"/>
                      <w:sz w:val="21"/>
                      <w:szCs w:val="21"/>
                    </w:rPr>
                    <w:t>0.003</w:t>
                  </w:r>
                </w:p>
              </w:tc>
              <w:tc>
                <w:tcPr>
                  <w:tcW w:w="459" w:type="pct"/>
                  <w:noWrap w:val="0"/>
                  <w:vAlign w:val="center"/>
                </w:tcPr>
                <w:p>
                  <w:pPr>
                    <w:pStyle w:val="36"/>
                    <w:bidi w:val="0"/>
                    <w:jc w:val="center"/>
                    <w:rPr>
                      <w:rFonts w:hint="default"/>
                      <w:color w:val="auto"/>
                      <w:sz w:val="21"/>
                      <w:szCs w:val="21"/>
                      <w:lang w:val="en-US" w:eastAsia="zh-CN"/>
                    </w:rPr>
                  </w:pPr>
                  <w:r>
                    <w:rPr>
                      <w:color w:val="auto"/>
                      <w:sz w:val="21"/>
                      <w:szCs w:val="21"/>
                    </w:rPr>
                    <w:t>0.012</w:t>
                  </w:r>
                </w:p>
              </w:tc>
              <w:tc>
                <w:tcPr>
                  <w:tcW w:w="625" w:type="pct"/>
                  <w:noWrap w:val="0"/>
                  <w:vAlign w:val="center"/>
                </w:tcPr>
                <w:p>
                  <w:pPr>
                    <w:pStyle w:val="36"/>
                    <w:bidi w:val="0"/>
                    <w:jc w:val="center"/>
                    <w:rPr>
                      <w:rFonts w:hint="default"/>
                      <w:color w:val="auto"/>
                      <w:sz w:val="21"/>
                      <w:szCs w:val="21"/>
                      <w:lang w:val="en-US" w:eastAsia="zh-CN"/>
                    </w:rPr>
                  </w:pPr>
                  <w:r>
                    <w:rPr>
                      <w:color w:val="auto"/>
                      <w:sz w:val="21"/>
                      <w:szCs w:val="21"/>
                    </w:rPr>
                    <w:t>0.027</w:t>
                  </w:r>
                </w:p>
              </w:tc>
              <w:tc>
                <w:tcPr>
                  <w:tcW w:w="625" w:type="pct"/>
                  <w:noWrap w:val="0"/>
                  <w:vAlign w:val="center"/>
                </w:tcPr>
                <w:p>
                  <w:pPr>
                    <w:pStyle w:val="36"/>
                    <w:bidi w:val="0"/>
                    <w:jc w:val="center"/>
                    <w:rPr>
                      <w:rFonts w:hint="default"/>
                      <w:color w:val="auto"/>
                      <w:sz w:val="21"/>
                      <w:szCs w:val="21"/>
                      <w:lang w:val="en-US" w:eastAsia="zh-CN"/>
                    </w:rPr>
                  </w:pPr>
                  <w:r>
                    <w:rPr>
                      <w:color w:val="auto"/>
                      <w:sz w:val="21"/>
                      <w:szCs w:val="21"/>
                    </w:rPr>
                    <w:t>0.048</w:t>
                  </w:r>
                </w:p>
              </w:tc>
              <w:tc>
                <w:tcPr>
                  <w:tcW w:w="625" w:type="pct"/>
                  <w:noWrap w:val="0"/>
                  <w:vAlign w:val="center"/>
                </w:tcPr>
                <w:p>
                  <w:pPr>
                    <w:pStyle w:val="36"/>
                    <w:bidi w:val="0"/>
                    <w:jc w:val="center"/>
                    <w:rPr>
                      <w:rFonts w:hint="default"/>
                      <w:color w:val="auto"/>
                      <w:sz w:val="21"/>
                      <w:szCs w:val="21"/>
                      <w:lang w:val="en-US" w:eastAsia="zh-CN"/>
                    </w:rPr>
                  </w:pPr>
                  <w:r>
                    <w:rPr>
                      <w:color w:val="auto"/>
                      <w:sz w:val="21"/>
                      <w:szCs w:val="21"/>
                    </w:rPr>
                    <w:t>0.075</w:t>
                  </w:r>
                </w:p>
              </w:tc>
              <w:tc>
                <w:tcPr>
                  <w:tcW w:w="625" w:type="pct"/>
                  <w:noWrap w:val="0"/>
                  <w:vAlign w:val="center"/>
                </w:tcPr>
                <w:p>
                  <w:pPr>
                    <w:pStyle w:val="36"/>
                    <w:bidi w:val="0"/>
                    <w:jc w:val="center"/>
                    <w:rPr>
                      <w:rFonts w:hint="default"/>
                      <w:color w:val="auto"/>
                      <w:sz w:val="21"/>
                      <w:szCs w:val="21"/>
                      <w:lang w:val="en-US" w:eastAsia="zh-CN"/>
                    </w:rPr>
                  </w:pPr>
                  <w:r>
                    <w:rPr>
                      <w:color w:val="auto"/>
                      <w:sz w:val="21"/>
                      <w:szCs w:val="21"/>
                    </w:rPr>
                    <w:t>0.108</w:t>
                  </w:r>
                </w:p>
              </w:tc>
              <w:tc>
                <w:tcPr>
                  <w:tcW w:w="627" w:type="pct"/>
                  <w:noWrap w:val="0"/>
                  <w:vAlign w:val="center"/>
                </w:tcPr>
                <w:p>
                  <w:pPr>
                    <w:pStyle w:val="36"/>
                    <w:bidi w:val="0"/>
                    <w:jc w:val="center"/>
                    <w:rPr>
                      <w:rFonts w:hint="default"/>
                      <w:color w:val="auto"/>
                      <w:sz w:val="21"/>
                      <w:szCs w:val="21"/>
                      <w:lang w:val="en-US" w:eastAsia="zh-CN"/>
                    </w:rPr>
                  </w:pPr>
                  <w:r>
                    <w:rPr>
                      <w:color w:val="auto"/>
                      <w:sz w:val="21"/>
                      <w:szCs w:val="21"/>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7" w:type="pct"/>
                  <w:noWrap w:val="0"/>
                  <w:vAlign w:val="center"/>
                </w:tcPr>
                <w:p>
                  <w:pPr>
                    <w:pStyle w:val="36"/>
                    <w:bidi w:val="0"/>
                    <w:jc w:val="center"/>
                    <w:rPr>
                      <w:rFonts w:hint="default"/>
                      <w:color w:val="auto"/>
                      <w:sz w:val="21"/>
                      <w:szCs w:val="21"/>
                      <w:lang w:val="en-US" w:eastAsia="zh-CN"/>
                    </w:rPr>
                  </w:pPr>
                  <w:r>
                    <w:rPr>
                      <w:color w:val="auto"/>
                      <w:sz w:val="21"/>
                      <w:szCs w:val="21"/>
                    </w:rPr>
                    <w:t>粉尘粒（μm）</w:t>
                  </w:r>
                </w:p>
              </w:tc>
              <w:tc>
                <w:tcPr>
                  <w:tcW w:w="622" w:type="pct"/>
                  <w:noWrap w:val="0"/>
                  <w:vAlign w:val="center"/>
                </w:tcPr>
                <w:p>
                  <w:pPr>
                    <w:pStyle w:val="36"/>
                    <w:bidi w:val="0"/>
                    <w:jc w:val="center"/>
                    <w:rPr>
                      <w:rFonts w:hint="default"/>
                      <w:color w:val="auto"/>
                      <w:sz w:val="21"/>
                      <w:szCs w:val="21"/>
                      <w:lang w:val="en-US" w:eastAsia="zh-CN"/>
                    </w:rPr>
                  </w:pPr>
                  <w:r>
                    <w:rPr>
                      <w:color w:val="auto"/>
                      <w:sz w:val="21"/>
                      <w:szCs w:val="21"/>
                    </w:rPr>
                    <w:t>80</w:t>
                  </w:r>
                </w:p>
              </w:tc>
              <w:tc>
                <w:tcPr>
                  <w:tcW w:w="459" w:type="pct"/>
                  <w:noWrap w:val="0"/>
                  <w:vAlign w:val="center"/>
                </w:tcPr>
                <w:p>
                  <w:pPr>
                    <w:pStyle w:val="36"/>
                    <w:bidi w:val="0"/>
                    <w:jc w:val="center"/>
                    <w:rPr>
                      <w:rFonts w:hint="default"/>
                      <w:color w:val="auto"/>
                      <w:sz w:val="21"/>
                      <w:szCs w:val="21"/>
                      <w:lang w:val="en-US" w:eastAsia="zh-CN"/>
                    </w:rPr>
                  </w:pPr>
                  <w:r>
                    <w:rPr>
                      <w:color w:val="auto"/>
                      <w:sz w:val="21"/>
                      <w:szCs w:val="21"/>
                    </w:rPr>
                    <w:t>90</w:t>
                  </w:r>
                </w:p>
              </w:tc>
              <w:tc>
                <w:tcPr>
                  <w:tcW w:w="625" w:type="pct"/>
                  <w:noWrap w:val="0"/>
                  <w:vAlign w:val="center"/>
                </w:tcPr>
                <w:p>
                  <w:pPr>
                    <w:pStyle w:val="36"/>
                    <w:bidi w:val="0"/>
                    <w:jc w:val="center"/>
                    <w:rPr>
                      <w:rFonts w:hint="default"/>
                      <w:color w:val="auto"/>
                      <w:sz w:val="21"/>
                      <w:szCs w:val="21"/>
                      <w:lang w:val="en-US" w:eastAsia="zh-CN"/>
                    </w:rPr>
                  </w:pPr>
                  <w:r>
                    <w:rPr>
                      <w:color w:val="auto"/>
                      <w:sz w:val="21"/>
                      <w:szCs w:val="21"/>
                    </w:rPr>
                    <w:t>100</w:t>
                  </w:r>
                </w:p>
              </w:tc>
              <w:tc>
                <w:tcPr>
                  <w:tcW w:w="625" w:type="pct"/>
                  <w:noWrap w:val="0"/>
                  <w:vAlign w:val="center"/>
                </w:tcPr>
                <w:p>
                  <w:pPr>
                    <w:pStyle w:val="36"/>
                    <w:bidi w:val="0"/>
                    <w:jc w:val="center"/>
                    <w:rPr>
                      <w:rFonts w:hint="default"/>
                      <w:color w:val="auto"/>
                      <w:sz w:val="21"/>
                      <w:szCs w:val="21"/>
                      <w:lang w:val="en-US" w:eastAsia="zh-CN"/>
                    </w:rPr>
                  </w:pPr>
                  <w:r>
                    <w:rPr>
                      <w:color w:val="auto"/>
                      <w:sz w:val="21"/>
                      <w:szCs w:val="21"/>
                    </w:rPr>
                    <w:t>150</w:t>
                  </w:r>
                </w:p>
              </w:tc>
              <w:tc>
                <w:tcPr>
                  <w:tcW w:w="625" w:type="pct"/>
                  <w:noWrap w:val="0"/>
                  <w:vAlign w:val="center"/>
                </w:tcPr>
                <w:p>
                  <w:pPr>
                    <w:pStyle w:val="36"/>
                    <w:bidi w:val="0"/>
                    <w:jc w:val="center"/>
                    <w:rPr>
                      <w:rFonts w:hint="default"/>
                      <w:color w:val="auto"/>
                      <w:sz w:val="21"/>
                      <w:szCs w:val="21"/>
                      <w:lang w:val="en-US" w:eastAsia="zh-CN"/>
                    </w:rPr>
                  </w:pPr>
                  <w:r>
                    <w:rPr>
                      <w:color w:val="auto"/>
                      <w:sz w:val="21"/>
                      <w:szCs w:val="21"/>
                    </w:rPr>
                    <w:t>200</w:t>
                  </w:r>
                </w:p>
              </w:tc>
              <w:tc>
                <w:tcPr>
                  <w:tcW w:w="625" w:type="pct"/>
                  <w:noWrap w:val="0"/>
                  <w:vAlign w:val="center"/>
                </w:tcPr>
                <w:p>
                  <w:pPr>
                    <w:pStyle w:val="36"/>
                    <w:bidi w:val="0"/>
                    <w:jc w:val="center"/>
                    <w:rPr>
                      <w:rFonts w:hint="default"/>
                      <w:color w:val="auto"/>
                      <w:sz w:val="21"/>
                      <w:szCs w:val="21"/>
                      <w:lang w:val="en-US" w:eastAsia="zh-CN"/>
                    </w:rPr>
                  </w:pPr>
                  <w:r>
                    <w:rPr>
                      <w:color w:val="auto"/>
                      <w:sz w:val="21"/>
                      <w:szCs w:val="21"/>
                    </w:rPr>
                    <w:t>250</w:t>
                  </w:r>
                </w:p>
              </w:tc>
              <w:tc>
                <w:tcPr>
                  <w:tcW w:w="627" w:type="pct"/>
                  <w:noWrap w:val="0"/>
                  <w:vAlign w:val="center"/>
                </w:tcPr>
                <w:p>
                  <w:pPr>
                    <w:pStyle w:val="36"/>
                    <w:bidi w:val="0"/>
                    <w:jc w:val="center"/>
                    <w:rPr>
                      <w:rFonts w:hint="default"/>
                      <w:color w:val="auto"/>
                      <w:sz w:val="21"/>
                      <w:szCs w:val="21"/>
                      <w:lang w:val="en-US" w:eastAsia="zh-CN"/>
                    </w:rPr>
                  </w:pPr>
                  <w:r>
                    <w:rPr>
                      <w:color w:val="auto"/>
                      <w:sz w:val="21"/>
                      <w:szCs w:val="21"/>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7" w:type="pct"/>
                  <w:noWrap w:val="0"/>
                  <w:vAlign w:val="center"/>
                </w:tcPr>
                <w:p>
                  <w:pPr>
                    <w:pStyle w:val="36"/>
                    <w:bidi w:val="0"/>
                    <w:jc w:val="center"/>
                    <w:rPr>
                      <w:rFonts w:hint="default"/>
                      <w:color w:val="auto"/>
                      <w:sz w:val="21"/>
                      <w:szCs w:val="21"/>
                      <w:lang w:val="en-US" w:eastAsia="zh-CN"/>
                    </w:rPr>
                  </w:pPr>
                  <w:r>
                    <w:rPr>
                      <w:color w:val="auto"/>
                      <w:sz w:val="21"/>
                      <w:szCs w:val="21"/>
                    </w:rPr>
                    <w:t>沉降速（m/s）</w:t>
                  </w:r>
                </w:p>
              </w:tc>
              <w:tc>
                <w:tcPr>
                  <w:tcW w:w="622" w:type="pct"/>
                  <w:noWrap w:val="0"/>
                  <w:vAlign w:val="center"/>
                </w:tcPr>
                <w:p>
                  <w:pPr>
                    <w:pStyle w:val="36"/>
                    <w:bidi w:val="0"/>
                    <w:jc w:val="center"/>
                    <w:rPr>
                      <w:rFonts w:hint="default"/>
                      <w:color w:val="auto"/>
                      <w:sz w:val="21"/>
                      <w:szCs w:val="21"/>
                      <w:lang w:val="en-US" w:eastAsia="zh-CN"/>
                    </w:rPr>
                  </w:pPr>
                  <w:r>
                    <w:rPr>
                      <w:color w:val="auto"/>
                      <w:sz w:val="21"/>
                      <w:szCs w:val="21"/>
                    </w:rPr>
                    <w:t>0.158</w:t>
                  </w:r>
                </w:p>
              </w:tc>
              <w:tc>
                <w:tcPr>
                  <w:tcW w:w="459" w:type="pct"/>
                  <w:noWrap w:val="0"/>
                  <w:vAlign w:val="center"/>
                </w:tcPr>
                <w:p>
                  <w:pPr>
                    <w:pStyle w:val="36"/>
                    <w:bidi w:val="0"/>
                    <w:jc w:val="center"/>
                    <w:rPr>
                      <w:rFonts w:hint="default"/>
                      <w:color w:val="auto"/>
                      <w:sz w:val="21"/>
                      <w:szCs w:val="21"/>
                      <w:lang w:val="en-US" w:eastAsia="zh-CN"/>
                    </w:rPr>
                  </w:pPr>
                  <w:r>
                    <w:rPr>
                      <w:color w:val="auto"/>
                      <w:sz w:val="21"/>
                      <w:szCs w:val="21"/>
                    </w:rPr>
                    <w:t>0.170</w:t>
                  </w:r>
                </w:p>
              </w:tc>
              <w:tc>
                <w:tcPr>
                  <w:tcW w:w="625" w:type="pct"/>
                  <w:noWrap w:val="0"/>
                  <w:vAlign w:val="center"/>
                </w:tcPr>
                <w:p>
                  <w:pPr>
                    <w:pStyle w:val="36"/>
                    <w:bidi w:val="0"/>
                    <w:jc w:val="center"/>
                    <w:rPr>
                      <w:rFonts w:hint="default"/>
                      <w:color w:val="auto"/>
                      <w:sz w:val="21"/>
                      <w:szCs w:val="21"/>
                      <w:lang w:val="en-US" w:eastAsia="zh-CN"/>
                    </w:rPr>
                  </w:pPr>
                  <w:r>
                    <w:rPr>
                      <w:color w:val="auto"/>
                      <w:sz w:val="21"/>
                      <w:szCs w:val="21"/>
                    </w:rPr>
                    <w:t>0.182</w:t>
                  </w:r>
                </w:p>
              </w:tc>
              <w:tc>
                <w:tcPr>
                  <w:tcW w:w="625" w:type="pct"/>
                  <w:noWrap w:val="0"/>
                  <w:vAlign w:val="center"/>
                </w:tcPr>
                <w:p>
                  <w:pPr>
                    <w:pStyle w:val="36"/>
                    <w:bidi w:val="0"/>
                    <w:jc w:val="center"/>
                    <w:rPr>
                      <w:rFonts w:hint="default"/>
                      <w:color w:val="auto"/>
                      <w:sz w:val="21"/>
                      <w:szCs w:val="21"/>
                      <w:lang w:val="en-US" w:eastAsia="zh-CN"/>
                    </w:rPr>
                  </w:pPr>
                  <w:r>
                    <w:rPr>
                      <w:color w:val="auto"/>
                      <w:sz w:val="21"/>
                      <w:szCs w:val="21"/>
                    </w:rPr>
                    <w:t>0.239</w:t>
                  </w:r>
                </w:p>
              </w:tc>
              <w:tc>
                <w:tcPr>
                  <w:tcW w:w="625" w:type="pct"/>
                  <w:noWrap w:val="0"/>
                  <w:vAlign w:val="center"/>
                </w:tcPr>
                <w:p>
                  <w:pPr>
                    <w:pStyle w:val="36"/>
                    <w:bidi w:val="0"/>
                    <w:jc w:val="center"/>
                    <w:rPr>
                      <w:rFonts w:hint="default"/>
                      <w:color w:val="auto"/>
                      <w:sz w:val="21"/>
                      <w:szCs w:val="21"/>
                      <w:lang w:val="en-US" w:eastAsia="zh-CN"/>
                    </w:rPr>
                  </w:pPr>
                  <w:r>
                    <w:rPr>
                      <w:color w:val="auto"/>
                      <w:sz w:val="21"/>
                      <w:szCs w:val="21"/>
                    </w:rPr>
                    <w:t>0.804</w:t>
                  </w:r>
                </w:p>
              </w:tc>
              <w:tc>
                <w:tcPr>
                  <w:tcW w:w="625" w:type="pct"/>
                  <w:noWrap w:val="0"/>
                  <w:vAlign w:val="center"/>
                </w:tcPr>
                <w:p>
                  <w:pPr>
                    <w:pStyle w:val="36"/>
                    <w:bidi w:val="0"/>
                    <w:jc w:val="center"/>
                    <w:rPr>
                      <w:rFonts w:hint="default"/>
                      <w:color w:val="auto"/>
                      <w:sz w:val="21"/>
                      <w:szCs w:val="21"/>
                      <w:lang w:val="en-US" w:eastAsia="zh-CN"/>
                    </w:rPr>
                  </w:pPr>
                  <w:r>
                    <w:rPr>
                      <w:color w:val="auto"/>
                      <w:sz w:val="21"/>
                      <w:szCs w:val="21"/>
                    </w:rPr>
                    <w:t>1.005</w:t>
                  </w:r>
                </w:p>
              </w:tc>
              <w:tc>
                <w:tcPr>
                  <w:tcW w:w="627" w:type="pct"/>
                  <w:noWrap w:val="0"/>
                  <w:vAlign w:val="center"/>
                </w:tcPr>
                <w:p>
                  <w:pPr>
                    <w:pStyle w:val="36"/>
                    <w:bidi w:val="0"/>
                    <w:jc w:val="center"/>
                    <w:rPr>
                      <w:rFonts w:hint="default"/>
                      <w:color w:val="auto"/>
                      <w:sz w:val="21"/>
                      <w:szCs w:val="21"/>
                      <w:lang w:val="en-US" w:eastAsia="zh-CN"/>
                    </w:rPr>
                  </w:pPr>
                  <w:r>
                    <w:rPr>
                      <w:color w:val="auto"/>
                      <w:sz w:val="21"/>
                      <w:szCs w:val="21"/>
                    </w:rPr>
                    <w:t>1.829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7" w:type="pct"/>
                  <w:noWrap w:val="0"/>
                  <w:vAlign w:val="center"/>
                </w:tcPr>
                <w:p>
                  <w:pPr>
                    <w:pStyle w:val="36"/>
                    <w:bidi w:val="0"/>
                    <w:jc w:val="center"/>
                    <w:rPr>
                      <w:rFonts w:hint="default"/>
                      <w:color w:val="auto"/>
                      <w:sz w:val="21"/>
                      <w:szCs w:val="21"/>
                      <w:lang w:val="en-US" w:eastAsia="zh-CN"/>
                    </w:rPr>
                  </w:pPr>
                  <w:r>
                    <w:rPr>
                      <w:color w:val="auto"/>
                      <w:sz w:val="21"/>
                      <w:szCs w:val="21"/>
                    </w:rPr>
                    <w:t>粉尘粒（μm）</w:t>
                  </w:r>
                </w:p>
              </w:tc>
              <w:tc>
                <w:tcPr>
                  <w:tcW w:w="622" w:type="pct"/>
                  <w:noWrap w:val="0"/>
                  <w:vAlign w:val="center"/>
                </w:tcPr>
                <w:p>
                  <w:pPr>
                    <w:pStyle w:val="36"/>
                    <w:bidi w:val="0"/>
                    <w:jc w:val="center"/>
                    <w:rPr>
                      <w:rFonts w:hint="default"/>
                      <w:color w:val="auto"/>
                      <w:sz w:val="21"/>
                      <w:szCs w:val="21"/>
                      <w:lang w:val="en-US" w:eastAsia="zh-CN"/>
                    </w:rPr>
                  </w:pPr>
                  <w:r>
                    <w:rPr>
                      <w:color w:val="auto"/>
                      <w:sz w:val="21"/>
                      <w:szCs w:val="21"/>
                    </w:rPr>
                    <w:t>450</w:t>
                  </w:r>
                </w:p>
              </w:tc>
              <w:tc>
                <w:tcPr>
                  <w:tcW w:w="459" w:type="pct"/>
                  <w:noWrap w:val="0"/>
                  <w:vAlign w:val="center"/>
                </w:tcPr>
                <w:p>
                  <w:pPr>
                    <w:pStyle w:val="36"/>
                    <w:bidi w:val="0"/>
                    <w:jc w:val="center"/>
                    <w:rPr>
                      <w:rFonts w:hint="default"/>
                      <w:color w:val="auto"/>
                      <w:sz w:val="21"/>
                      <w:szCs w:val="21"/>
                      <w:lang w:val="en-US" w:eastAsia="zh-CN"/>
                    </w:rPr>
                  </w:pPr>
                  <w:r>
                    <w:rPr>
                      <w:color w:val="auto"/>
                      <w:sz w:val="21"/>
                      <w:szCs w:val="21"/>
                    </w:rPr>
                    <w:t>550</w:t>
                  </w:r>
                </w:p>
              </w:tc>
              <w:tc>
                <w:tcPr>
                  <w:tcW w:w="625" w:type="pct"/>
                  <w:noWrap w:val="0"/>
                  <w:vAlign w:val="center"/>
                </w:tcPr>
                <w:p>
                  <w:pPr>
                    <w:pStyle w:val="36"/>
                    <w:bidi w:val="0"/>
                    <w:jc w:val="center"/>
                    <w:rPr>
                      <w:rFonts w:hint="default"/>
                      <w:color w:val="auto"/>
                      <w:sz w:val="21"/>
                      <w:szCs w:val="21"/>
                      <w:lang w:val="en-US" w:eastAsia="zh-CN"/>
                    </w:rPr>
                  </w:pPr>
                  <w:r>
                    <w:rPr>
                      <w:color w:val="auto"/>
                      <w:sz w:val="21"/>
                      <w:szCs w:val="21"/>
                    </w:rPr>
                    <w:t>650</w:t>
                  </w:r>
                </w:p>
              </w:tc>
              <w:tc>
                <w:tcPr>
                  <w:tcW w:w="625" w:type="pct"/>
                  <w:noWrap w:val="0"/>
                  <w:vAlign w:val="center"/>
                </w:tcPr>
                <w:p>
                  <w:pPr>
                    <w:pStyle w:val="36"/>
                    <w:bidi w:val="0"/>
                    <w:jc w:val="center"/>
                    <w:rPr>
                      <w:rFonts w:hint="default"/>
                      <w:color w:val="auto"/>
                      <w:sz w:val="21"/>
                      <w:szCs w:val="21"/>
                      <w:lang w:val="en-US" w:eastAsia="zh-CN"/>
                    </w:rPr>
                  </w:pPr>
                  <w:r>
                    <w:rPr>
                      <w:color w:val="auto"/>
                      <w:sz w:val="21"/>
                      <w:szCs w:val="21"/>
                    </w:rPr>
                    <w:t>750</w:t>
                  </w:r>
                </w:p>
              </w:tc>
              <w:tc>
                <w:tcPr>
                  <w:tcW w:w="625" w:type="pct"/>
                  <w:noWrap w:val="0"/>
                  <w:vAlign w:val="center"/>
                </w:tcPr>
                <w:p>
                  <w:pPr>
                    <w:pStyle w:val="36"/>
                    <w:bidi w:val="0"/>
                    <w:jc w:val="center"/>
                    <w:rPr>
                      <w:rFonts w:hint="default"/>
                      <w:color w:val="auto"/>
                      <w:sz w:val="21"/>
                      <w:szCs w:val="21"/>
                      <w:lang w:val="en-US" w:eastAsia="zh-CN"/>
                    </w:rPr>
                  </w:pPr>
                  <w:r>
                    <w:rPr>
                      <w:color w:val="auto"/>
                      <w:sz w:val="21"/>
                      <w:szCs w:val="21"/>
                    </w:rPr>
                    <w:t>850</w:t>
                  </w:r>
                </w:p>
              </w:tc>
              <w:tc>
                <w:tcPr>
                  <w:tcW w:w="625" w:type="pct"/>
                  <w:noWrap w:val="0"/>
                  <w:vAlign w:val="center"/>
                </w:tcPr>
                <w:p>
                  <w:pPr>
                    <w:pStyle w:val="36"/>
                    <w:bidi w:val="0"/>
                    <w:jc w:val="center"/>
                    <w:rPr>
                      <w:rFonts w:hint="default"/>
                      <w:color w:val="auto"/>
                      <w:sz w:val="21"/>
                      <w:szCs w:val="21"/>
                      <w:lang w:val="en-US" w:eastAsia="zh-CN"/>
                    </w:rPr>
                  </w:pPr>
                  <w:r>
                    <w:rPr>
                      <w:color w:val="auto"/>
                      <w:sz w:val="21"/>
                      <w:szCs w:val="21"/>
                    </w:rPr>
                    <w:t>950</w:t>
                  </w:r>
                </w:p>
              </w:tc>
              <w:tc>
                <w:tcPr>
                  <w:tcW w:w="627" w:type="pct"/>
                  <w:noWrap w:val="0"/>
                  <w:vAlign w:val="center"/>
                </w:tcPr>
                <w:p>
                  <w:pPr>
                    <w:pStyle w:val="36"/>
                    <w:bidi w:val="0"/>
                    <w:jc w:val="center"/>
                    <w:rPr>
                      <w:rFonts w:hint="default"/>
                      <w:color w:val="auto"/>
                      <w:sz w:val="21"/>
                      <w:szCs w:val="21"/>
                      <w:lang w:val="en-US" w:eastAsia="zh-CN"/>
                    </w:rPr>
                  </w:pPr>
                  <w:r>
                    <w:rPr>
                      <w:color w:val="auto"/>
                      <w:sz w:val="21"/>
                      <w:szCs w:val="21"/>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7" w:type="pct"/>
                  <w:noWrap w:val="0"/>
                  <w:vAlign w:val="center"/>
                </w:tcPr>
                <w:p>
                  <w:pPr>
                    <w:pStyle w:val="36"/>
                    <w:bidi w:val="0"/>
                    <w:jc w:val="center"/>
                    <w:rPr>
                      <w:rFonts w:hint="default"/>
                      <w:color w:val="auto"/>
                      <w:sz w:val="21"/>
                      <w:szCs w:val="21"/>
                      <w:lang w:val="en-US" w:eastAsia="zh-CN"/>
                    </w:rPr>
                  </w:pPr>
                  <w:r>
                    <w:rPr>
                      <w:color w:val="auto"/>
                      <w:sz w:val="21"/>
                      <w:szCs w:val="21"/>
                    </w:rPr>
                    <w:t>沉降速（m/s）</w:t>
                  </w:r>
                </w:p>
              </w:tc>
              <w:tc>
                <w:tcPr>
                  <w:tcW w:w="622" w:type="pct"/>
                  <w:noWrap w:val="0"/>
                  <w:vAlign w:val="center"/>
                </w:tcPr>
                <w:p>
                  <w:pPr>
                    <w:pStyle w:val="36"/>
                    <w:bidi w:val="0"/>
                    <w:jc w:val="center"/>
                    <w:rPr>
                      <w:rFonts w:hint="default"/>
                      <w:color w:val="auto"/>
                      <w:sz w:val="21"/>
                      <w:szCs w:val="21"/>
                      <w:lang w:val="en-US" w:eastAsia="zh-CN"/>
                    </w:rPr>
                  </w:pPr>
                  <w:r>
                    <w:rPr>
                      <w:color w:val="auto"/>
                      <w:sz w:val="21"/>
                      <w:szCs w:val="21"/>
                    </w:rPr>
                    <w:t>2.211</w:t>
                  </w:r>
                </w:p>
              </w:tc>
              <w:tc>
                <w:tcPr>
                  <w:tcW w:w="459" w:type="pct"/>
                  <w:noWrap w:val="0"/>
                  <w:vAlign w:val="center"/>
                </w:tcPr>
                <w:p>
                  <w:pPr>
                    <w:pStyle w:val="36"/>
                    <w:bidi w:val="0"/>
                    <w:jc w:val="center"/>
                    <w:rPr>
                      <w:rFonts w:hint="default"/>
                      <w:color w:val="auto"/>
                      <w:sz w:val="21"/>
                      <w:szCs w:val="21"/>
                      <w:lang w:val="en-US" w:eastAsia="zh-CN"/>
                    </w:rPr>
                  </w:pPr>
                  <w:r>
                    <w:rPr>
                      <w:color w:val="auto"/>
                      <w:sz w:val="21"/>
                      <w:szCs w:val="21"/>
                    </w:rPr>
                    <w:t>2.614</w:t>
                  </w:r>
                </w:p>
              </w:tc>
              <w:tc>
                <w:tcPr>
                  <w:tcW w:w="625" w:type="pct"/>
                  <w:noWrap w:val="0"/>
                  <w:vAlign w:val="center"/>
                </w:tcPr>
                <w:p>
                  <w:pPr>
                    <w:pStyle w:val="36"/>
                    <w:bidi w:val="0"/>
                    <w:jc w:val="center"/>
                    <w:rPr>
                      <w:rFonts w:hint="default"/>
                      <w:color w:val="auto"/>
                      <w:sz w:val="21"/>
                      <w:szCs w:val="21"/>
                      <w:lang w:val="en-US" w:eastAsia="zh-CN"/>
                    </w:rPr>
                  </w:pPr>
                  <w:r>
                    <w:rPr>
                      <w:color w:val="auto"/>
                      <w:sz w:val="21"/>
                      <w:szCs w:val="21"/>
                    </w:rPr>
                    <w:t>3.016</w:t>
                  </w:r>
                </w:p>
              </w:tc>
              <w:tc>
                <w:tcPr>
                  <w:tcW w:w="625" w:type="pct"/>
                  <w:noWrap w:val="0"/>
                  <w:vAlign w:val="center"/>
                </w:tcPr>
                <w:p>
                  <w:pPr>
                    <w:pStyle w:val="36"/>
                    <w:bidi w:val="0"/>
                    <w:jc w:val="center"/>
                    <w:rPr>
                      <w:rFonts w:hint="default"/>
                      <w:color w:val="auto"/>
                      <w:sz w:val="21"/>
                      <w:szCs w:val="21"/>
                      <w:lang w:val="en-US" w:eastAsia="zh-CN"/>
                    </w:rPr>
                  </w:pPr>
                  <w:r>
                    <w:rPr>
                      <w:color w:val="auto"/>
                      <w:sz w:val="21"/>
                      <w:szCs w:val="21"/>
                    </w:rPr>
                    <w:t>3.418</w:t>
                  </w:r>
                </w:p>
              </w:tc>
              <w:tc>
                <w:tcPr>
                  <w:tcW w:w="625" w:type="pct"/>
                  <w:noWrap w:val="0"/>
                  <w:vAlign w:val="center"/>
                </w:tcPr>
                <w:p>
                  <w:pPr>
                    <w:pStyle w:val="36"/>
                    <w:bidi w:val="0"/>
                    <w:jc w:val="center"/>
                    <w:rPr>
                      <w:rFonts w:hint="default"/>
                      <w:color w:val="auto"/>
                      <w:sz w:val="21"/>
                      <w:szCs w:val="21"/>
                      <w:lang w:val="en-US" w:eastAsia="zh-CN"/>
                    </w:rPr>
                  </w:pPr>
                  <w:r>
                    <w:rPr>
                      <w:color w:val="auto"/>
                      <w:sz w:val="21"/>
                      <w:szCs w:val="21"/>
                    </w:rPr>
                    <w:t>3.820</w:t>
                  </w:r>
                </w:p>
              </w:tc>
              <w:tc>
                <w:tcPr>
                  <w:tcW w:w="625" w:type="pct"/>
                  <w:noWrap w:val="0"/>
                  <w:vAlign w:val="center"/>
                </w:tcPr>
                <w:p>
                  <w:pPr>
                    <w:pStyle w:val="36"/>
                    <w:bidi w:val="0"/>
                    <w:jc w:val="center"/>
                    <w:rPr>
                      <w:rFonts w:hint="default"/>
                      <w:color w:val="auto"/>
                      <w:sz w:val="21"/>
                      <w:szCs w:val="21"/>
                      <w:lang w:val="en-US" w:eastAsia="zh-CN"/>
                    </w:rPr>
                  </w:pPr>
                  <w:r>
                    <w:rPr>
                      <w:color w:val="auto"/>
                      <w:sz w:val="21"/>
                      <w:szCs w:val="21"/>
                    </w:rPr>
                    <w:t>4.222</w:t>
                  </w:r>
                </w:p>
              </w:tc>
              <w:tc>
                <w:tcPr>
                  <w:tcW w:w="627" w:type="pct"/>
                  <w:noWrap w:val="0"/>
                  <w:vAlign w:val="center"/>
                </w:tcPr>
                <w:p>
                  <w:pPr>
                    <w:pStyle w:val="36"/>
                    <w:bidi w:val="0"/>
                    <w:jc w:val="center"/>
                    <w:rPr>
                      <w:rFonts w:hint="default"/>
                      <w:color w:val="auto"/>
                      <w:sz w:val="21"/>
                      <w:szCs w:val="21"/>
                      <w:lang w:val="en-US" w:eastAsia="zh-CN"/>
                    </w:rPr>
                  </w:pPr>
                  <w:r>
                    <w:rPr>
                      <w:color w:val="auto"/>
                      <w:sz w:val="21"/>
                      <w:szCs w:val="21"/>
                    </w:rPr>
                    <w:t>4.624</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由</w:t>
            </w:r>
            <w:r>
              <w:rPr>
                <w:rFonts w:hint="eastAsia" w:ascii="Times New Roman" w:hAnsi="Times New Roman" w:cs="Times New Roman"/>
                <w:color w:val="auto"/>
                <w:lang w:val="en-US" w:eastAsia="zh-CN"/>
              </w:rPr>
              <w:t>上</w:t>
            </w:r>
            <w:r>
              <w:rPr>
                <w:rFonts w:hint="default" w:ascii="Times New Roman" w:hAnsi="Times New Roman" w:eastAsia="宋体" w:cs="Times New Roman"/>
                <w:color w:val="auto"/>
              </w:rPr>
              <w:t>表可见，粉尘的沉降速度随粒径的增加而迅速增大。当粒径为250μm时，沉降速度为1.005m/s，因此可以认为当尘粒大于250μm时，主要影响范围在扬尘点下风向近距离范围内，而真正对外环境产生影响的是一些微小粒径的粉尘。</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根据《河北省建筑施工扬尘防治强化措施18条》的要求等，项目施工须采取如下防尘和抑尘措施：</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（1）在醒目的位置公示扬尘污染防治方案，公示期至工程施工结束，并保持公示内容的清晰完整。</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（2）对施工场界采取围挡措施，城市主干道两侧的围挡高度不低于2.5米，一般路段高度不低于1.8米。</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（3）施工现场出入口、加工区和主作业区等处必须安装视频监控系统，对施工扬尘实时监控。</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（4）剥离的表土暂存于表土堆场，</w:t>
            </w:r>
            <w:r>
              <w:rPr>
                <w:rFonts w:hint="eastAsia" w:cs="Times New Roman"/>
                <w:color w:val="auto"/>
                <w:lang w:val="en-US" w:eastAsia="zh-CN"/>
              </w:rPr>
              <w:t>建筑物料堆路存放，</w:t>
            </w:r>
            <w:r>
              <w:rPr>
                <w:rFonts w:hint="default" w:ascii="Times New Roman" w:hAnsi="Times New Roman" w:eastAsia="宋体" w:cs="Times New Roman"/>
                <w:color w:val="auto"/>
              </w:rPr>
              <w:t>废</w:t>
            </w:r>
            <w:r>
              <w:rPr>
                <w:rFonts w:hint="eastAsia" w:cs="Times New Roman"/>
                <w:color w:val="auto"/>
                <w:lang w:val="en-US" w:eastAsia="zh-CN"/>
              </w:rPr>
              <w:t>石子、淤泥</w:t>
            </w:r>
            <w:r>
              <w:rPr>
                <w:rFonts w:hint="default" w:ascii="Times New Roman" w:hAnsi="Times New Roman" w:eastAsia="宋体" w:cs="Times New Roman"/>
                <w:color w:val="auto"/>
              </w:rPr>
              <w:t>暂存于</w:t>
            </w:r>
            <w:r>
              <w:rPr>
                <w:rFonts w:hint="eastAsia" w:cs="Times New Roman"/>
                <w:color w:val="auto"/>
                <w:lang w:val="en-US" w:eastAsia="zh-CN"/>
              </w:rPr>
              <w:t>弃土场</w:t>
            </w:r>
            <w:r>
              <w:rPr>
                <w:rFonts w:hint="default" w:ascii="Times New Roman" w:hAnsi="Times New Roman" w:eastAsia="宋体" w:cs="Times New Roman"/>
                <w:color w:val="auto"/>
              </w:rPr>
              <w:t>，为防止产生的扬尘，对剥离的表土堆场</w:t>
            </w:r>
            <w:r>
              <w:rPr>
                <w:rFonts w:hint="eastAsia" w:cs="Times New Roman"/>
                <w:color w:val="auto"/>
                <w:lang w:eastAsia="zh-CN"/>
              </w:rPr>
              <w:t>、</w:t>
            </w:r>
            <w:r>
              <w:rPr>
                <w:rFonts w:hint="eastAsia" w:cs="Times New Roman"/>
                <w:color w:val="auto"/>
                <w:lang w:val="en-US" w:eastAsia="zh-CN"/>
              </w:rPr>
              <w:t>物料堆场区</w:t>
            </w:r>
            <w:r>
              <w:rPr>
                <w:rFonts w:hint="default" w:ascii="Times New Roman" w:hAnsi="Times New Roman" w:eastAsia="宋体" w:cs="Times New Roman"/>
                <w:color w:val="auto"/>
              </w:rPr>
              <w:t>和</w:t>
            </w:r>
            <w:r>
              <w:rPr>
                <w:rFonts w:hint="eastAsia" w:cs="Times New Roman"/>
                <w:color w:val="auto"/>
                <w:lang w:val="en-US" w:eastAsia="zh-CN"/>
              </w:rPr>
              <w:t>弃土场</w:t>
            </w:r>
            <w:r>
              <w:rPr>
                <w:rFonts w:hint="default" w:ascii="Times New Roman" w:hAnsi="Times New Roman" w:eastAsia="宋体" w:cs="Times New Roman"/>
                <w:color w:val="auto"/>
              </w:rPr>
              <w:t>应进行洒水抑尘，施工现场集中堆放的土方和裸露场地必须采取覆盖、固化或绿化等防尘措施，严禁裸露。</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（5）基坑开挖作业过程中，四周应采取洒水、喷雾等降尘措施。</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（6）施工作业面做到活完脚下清，及时将建筑垃圾</w:t>
            </w:r>
            <w:r>
              <w:rPr>
                <w:rFonts w:hint="eastAsia" w:cs="Times New Roman"/>
                <w:color w:val="auto"/>
                <w:lang w:val="en-US" w:eastAsia="zh-CN"/>
              </w:rPr>
              <w:t>收集</w:t>
            </w:r>
            <w:r>
              <w:rPr>
                <w:rFonts w:hint="default" w:ascii="Times New Roman" w:hAnsi="Times New Roman" w:eastAsia="宋体" w:cs="Times New Roman"/>
                <w:color w:val="auto"/>
              </w:rPr>
              <w:t>。施工现场设专人清扫保洁，定时洒水降尘，确保场容场貌整洁。</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（7）遇有4级以上大风或重度污染天气时，必须采取扬尘应急措施，严禁土方开挖、土方回填。</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（8）项目施工时，干旱、多风季节每天洒水不得少于2次</w:t>
            </w:r>
            <w:r>
              <w:rPr>
                <w:rFonts w:hint="eastAsia" w:cs="Times New Roman"/>
                <w:color w:val="auto"/>
                <w:lang w:eastAsia="zh-CN"/>
              </w:rPr>
              <w:t>。</w:t>
            </w:r>
          </w:p>
          <w:p>
            <w:pPr>
              <w:keepNext w:val="0"/>
              <w:keepLines w:val="0"/>
              <w:pageBreakBefore w:val="0"/>
              <w:widowControl w:val="0"/>
              <w:kinsoku/>
              <w:wordWrap/>
              <w:overflowPunct/>
              <w:topLinePunct w:val="0"/>
              <w:autoSpaceDE w:val="0"/>
              <w:autoSpaceDN/>
              <w:bidi w:val="0"/>
              <w:adjustRightInd w:val="0"/>
              <w:snapToGrid w:val="0"/>
              <w:spacing w:line="500" w:lineRule="exact"/>
              <w:ind w:left="0" w:leftChars="0" w:right="0" w:rightChars="0" w:firstLine="480" w:firstLineChars="200"/>
              <w:jc w:val="left"/>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1.2车辆运输扬尘</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color w:val="auto"/>
              </w:rPr>
            </w:pPr>
            <w:r>
              <w:rPr>
                <w:color w:val="auto"/>
              </w:rPr>
              <w:t>施工过程中，各种施工材料的运输，运输将给运输道路沿线带来扬尘污染，车辆道路扬尘为线源污染，扬尘在道路两侧扩散</w:t>
            </w:r>
            <w:r>
              <w:rPr>
                <w:rFonts w:hint="eastAsia"/>
                <w:color w:val="auto"/>
                <w:lang w:eastAsia="zh-CN"/>
              </w:rPr>
              <w:t>，</w:t>
            </w:r>
            <w:r>
              <w:rPr>
                <w:color w:val="auto"/>
              </w:rPr>
              <w:t>虽然是间歇性的，但是对沿线道路两侧及整个施工区环境空气质量将产生不利影响。一般来说，施工粉尘的TSP直径在100μm以上，其影响范围距施工场地约50~100m，扬尘的TSP直径在100μm 以下，TSP影响范围在300m左右。根据</w:t>
            </w:r>
            <w:r>
              <w:rPr>
                <w:rFonts w:hint="eastAsia"/>
                <w:color w:val="auto"/>
                <w:lang w:eastAsia="zh-CN"/>
              </w:rPr>
              <w:t>《</w:t>
            </w:r>
            <w:r>
              <w:rPr>
                <w:rFonts w:hint="eastAsia"/>
                <w:color w:val="auto"/>
                <w:lang w:val="en-US" w:eastAsia="zh-CN"/>
              </w:rPr>
              <w:t>施工扬尘污染及防止措施</w:t>
            </w:r>
            <w:r>
              <w:rPr>
                <w:rFonts w:hint="eastAsia"/>
                <w:color w:val="auto"/>
                <w:lang w:eastAsia="zh-CN"/>
              </w:rPr>
              <w:t>》</w:t>
            </w:r>
            <w:r>
              <w:rPr>
                <w:color w:val="auto"/>
              </w:rPr>
              <w:t>资料</w:t>
            </w:r>
            <w:r>
              <w:rPr>
                <w:rFonts w:hint="eastAsia"/>
                <w:color w:val="auto"/>
                <w:lang w:val="en-US" w:eastAsia="zh-CN"/>
              </w:rPr>
              <w:t>可知</w:t>
            </w:r>
            <w:r>
              <w:rPr>
                <w:color w:val="auto"/>
              </w:rPr>
              <w:t>，运输车辆在施工场地行驶产生的扬尘约占施工扬尘的60%，这与车速和场地状况有很大关系。</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color w:val="auto"/>
              </w:rPr>
            </w:pPr>
            <w:r>
              <w:rPr>
                <w:color w:val="auto"/>
              </w:rPr>
              <w:t>车辆行驶产生的扬尘，在完全干燥情况下，可按经验公式进行计算：</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color w:val="auto"/>
              </w:rPr>
            </w:pPr>
            <w:r>
              <w:rPr>
                <w:color w:val="auto"/>
              </w:rPr>
              <w:t>Q=0.123（V/5）（W/6.8）</w:t>
            </w:r>
            <w:r>
              <w:rPr>
                <w:color w:val="auto"/>
                <w:vertAlign w:val="superscript"/>
              </w:rPr>
              <w:t>0.85</w:t>
            </w:r>
            <w:r>
              <w:rPr>
                <w:color w:val="auto"/>
              </w:rPr>
              <w:t>（P/0.5）</w:t>
            </w:r>
            <w:r>
              <w:rPr>
                <w:color w:val="auto"/>
                <w:vertAlign w:val="superscript"/>
              </w:rPr>
              <w:t>0.75</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color w:val="auto"/>
              </w:rPr>
            </w:pPr>
            <w:r>
              <w:rPr>
                <w:color w:val="auto"/>
              </w:rPr>
              <w:t>式中：Q—汽车行驶的扬尘，kg/km.辆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color w:val="auto"/>
              </w:rPr>
            </w:pPr>
            <w:r>
              <w:rPr>
                <w:color w:val="auto"/>
              </w:rPr>
              <w:t>V—汽车速度，km/hr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color w:val="auto"/>
              </w:rPr>
            </w:pPr>
            <w:r>
              <w:rPr>
                <w:color w:val="auto"/>
              </w:rPr>
              <w:t>W—汽车载重量，t；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color w:val="auto"/>
              </w:rPr>
            </w:pPr>
            <w:r>
              <w:rPr>
                <w:color w:val="auto"/>
              </w:rPr>
              <w:t>P—道路表面粉尘量，kg/m</w:t>
            </w:r>
            <w:r>
              <w:rPr>
                <w:color w:val="auto"/>
                <w:vertAlign w:val="superscript"/>
              </w:rPr>
              <w:t>2</w:t>
            </w:r>
            <w:r>
              <w:rPr>
                <w:color w:val="auto"/>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color w:val="auto"/>
                <w:sz w:val="21"/>
                <w:szCs w:val="21"/>
              </w:rPr>
            </w:pPr>
            <w:r>
              <w:rPr>
                <w:color w:val="auto"/>
              </w:rPr>
              <w:t>根据公式计算，拟一辆10t</w:t>
            </w:r>
            <w:r>
              <w:rPr>
                <w:rFonts w:hint="eastAsia"/>
                <w:color w:val="auto"/>
                <w:lang w:val="en-US" w:eastAsia="zh-CN"/>
              </w:rPr>
              <w:t>运输</w:t>
            </w:r>
            <w:r>
              <w:rPr>
                <w:color w:val="auto"/>
              </w:rPr>
              <w:t>车通过一段为1km的路面时，不同路面清洁程度、不同行驶速度情况下的扬尘量</w:t>
            </w:r>
            <w:r>
              <w:rPr>
                <w:rFonts w:hint="eastAsia"/>
                <w:color w:val="auto"/>
                <w:lang w:val="en-US" w:eastAsia="zh-CN"/>
              </w:rPr>
              <w:t>见下表：</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b/>
                <w:bCs/>
                <w:color w:val="auto"/>
                <w:sz w:val="21"/>
                <w:szCs w:val="21"/>
              </w:rPr>
            </w:pPr>
            <w:r>
              <w:rPr>
                <w:b/>
                <w:bCs/>
                <w:color w:val="auto"/>
                <w:sz w:val="21"/>
                <w:szCs w:val="21"/>
              </w:rPr>
              <w:t>表</w:t>
            </w:r>
            <w:r>
              <w:rPr>
                <w:rFonts w:hint="eastAsia"/>
                <w:b/>
                <w:bCs/>
                <w:color w:val="auto"/>
                <w:sz w:val="21"/>
                <w:szCs w:val="21"/>
                <w:lang w:val="en-US" w:eastAsia="zh-CN"/>
              </w:rPr>
              <w:t>4-2</w:t>
            </w:r>
            <w:r>
              <w:rPr>
                <w:b/>
                <w:bCs/>
                <w:color w:val="auto"/>
                <w:sz w:val="21"/>
                <w:szCs w:val="21"/>
              </w:rPr>
              <w:t xml:space="preserve"> 不同路面清洁程度、不同行驶速度情况下的扬尘量统计表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6"/>
              <w:gridCol w:w="1217"/>
              <w:gridCol w:w="1217"/>
              <w:gridCol w:w="1217"/>
              <w:gridCol w:w="1217"/>
              <w:gridCol w:w="1217"/>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1" w:hRule="atLeast"/>
              </w:trPr>
              <w:tc>
                <w:tcPr>
                  <w:tcW w:w="1647" w:type="dxa"/>
                  <w:noWrap w:val="0"/>
                  <w:vAlign w:val="top"/>
                  <mc:AlternateContent>
                    <mc:Choice Requires="wpsCustomData">
                      <wpsCustomData:diagonals>
                        <wpsCustomData:diagonal from="10000" to="30000">
                          <wpsCustomData:border w:val="single" w:color="auto" w:sz="4" w:space="0"/>
                        </wpsCustomData:diagonal>
                      </wpsCustomData:diagonals>
                    </mc:Choice>
                  </mc:AlternateContent>
                </w:tcPr>
                <w:p>
                  <w:pPr>
                    <w:pStyle w:val="36"/>
                    <w:bidi w:val="0"/>
                    <w:rPr>
                      <w:rFonts w:hint="eastAsia"/>
                      <w:color w:val="auto"/>
                      <w:sz w:val="21"/>
                      <w:szCs w:val="21"/>
                      <w:lang w:val="en-US" w:eastAsia="zh-CN"/>
                    </w:rPr>
                  </w:pPr>
                  <w:r>
                    <w:rPr>
                      <w:rFonts w:hint="eastAsia"/>
                      <w:color w:val="auto"/>
                      <w:sz w:val="21"/>
                      <w:szCs w:val="21"/>
                      <w:lang w:val="en-US" w:eastAsia="zh-CN"/>
                    </w:rPr>
                    <w:t xml:space="preserve">      </w:t>
                  </w:r>
                </w:p>
                <w:p>
                  <w:pPr>
                    <w:pStyle w:val="36"/>
                    <w:bidi w:val="0"/>
                    <mc:AlternateContent>
                      <mc:Choice Requires="wpsCustomData">
                        <wpsCustomData:diagonalParaType/>
                      </mc:Choice>
                    </mc:AlternateContent>
                    <w:rPr>
                      <w:rFonts w:hint="default"/>
                      <w:color w:val="auto"/>
                      <w:sz w:val="21"/>
                      <w:szCs w:val="21"/>
                      <w:lang w:val="en-US" w:eastAsia="zh-CN"/>
                    </w:rPr>
                  </w:pPr>
                  <w:r>
                    <w:rPr>
                      <w:rFonts w:hint="eastAsia"/>
                      <w:color w:val="auto"/>
                      <w:sz w:val="21"/>
                      <w:szCs w:val="21"/>
                      <w:lang w:val="en-US" w:eastAsia="zh-CN"/>
                    </w:rPr>
                    <w:t>车速</w:t>
                  </w:r>
                </w:p>
                <w:p>
                  <w:pPr>
                    <w:pStyle w:val="36"/>
                    <w:bidi w:val="0"/>
                    <w:rPr>
                      <w:rFonts w:hint="default"/>
                      <w:color w:val="auto"/>
                      <w:sz w:val="21"/>
                      <w:szCs w:val="21"/>
                      <w:lang w:val="en-US" w:eastAsia="zh-CN"/>
                    </w:rPr>
                  </w:pPr>
                  <w:r>
                    <w:rPr>
                      <w:rFonts w:hint="eastAsia"/>
                      <w:color w:val="auto"/>
                      <w:sz w:val="21"/>
                      <w:szCs w:val="21"/>
                      <w:lang w:val="en-US" w:eastAsia="zh-CN"/>
                    </w:rPr>
                    <w:t>扬尘量</w:t>
                  </w:r>
                </w:p>
              </w:tc>
              <w:tc>
                <w:tcPr>
                  <w:tcW w:w="1254" w:type="dxa"/>
                  <w:noWrap w:val="0"/>
                  <w:vAlign w:val="top"/>
                </w:tcPr>
                <w:p>
                  <w:pPr>
                    <w:pStyle w:val="36"/>
                    <w:bidi w:val="0"/>
                    <w:rPr>
                      <w:color w:val="auto"/>
                      <w:sz w:val="21"/>
                      <w:szCs w:val="21"/>
                    </w:rPr>
                  </w:pPr>
                  <w:r>
                    <w:rPr>
                      <w:color w:val="auto"/>
                      <w:sz w:val="21"/>
                      <w:szCs w:val="21"/>
                    </w:rPr>
                    <w:t>0.1</w:t>
                  </w:r>
                </w:p>
                <w:p>
                  <w:pPr>
                    <w:pStyle w:val="36"/>
                    <w:bidi w:val="0"/>
                    <w:rPr>
                      <w:color w:val="auto"/>
                      <w:sz w:val="21"/>
                      <w:szCs w:val="21"/>
                    </w:rPr>
                  </w:pPr>
                  <w:r>
                    <w:rPr>
                      <w:color w:val="auto"/>
                      <w:sz w:val="21"/>
                      <w:szCs w:val="21"/>
                    </w:rPr>
                    <w:t>（kg/m</w:t>
                  </w:r>
                  <w:r>
                    <w:rPr>
                      <w:color w:val="auto"/>
                      <w:sz w:val="21"/>
                      <w:szCs w:val="21"/>
                      <w:vertAlign w:val="superscript"/>
                    </w:rPr>
                    <w:t>2</w:t>
                  </w:r>
                  <w:r>
                    <w:rPr>
                      <w:color w:val="auto"/>
                      <w:sz w:val="21"/>
                      <w:szCs w:val="21"/>
                    </w:rPr>
                    <w:t>）</w:t>
                  </w:r>
                </w:p>
              </w:tc>
              <w:tc>
                <w:tcPr>
                  <w:tcW w:w="1254" w:type="dxa"/>
                  <w:noWrap w:val="0"/>
                  <w:vAlign w:val="top"/>
                </w:tcPr>
                <w:p>
                  <w:pPr>
                    <w:pStyle w:val="36"/>
                    <w:bidi w:val="0"/>
                    <w:rPr>
                      <w:rFonts w:hint="eastAsia"/>
                      <w:color w:val="auto"/>
                      <w:sz w:val="21"/>
                      <w:szCs w:val="21"/>
                      <w:lang w:val="en-US" w:eastAsia="zh-CN"/>
                    </w:rPr>
                  </w:pPr>
                  <w:r>
                    <w:rPr>
                      <w:color w:val="auto"/>
                      <w:sz w:val="21"/>
                      <w:szCs w:val="21"/>
                    </w:rPr>
                    <w:t>0.</w:t>
                  </w:r>
                  <w:r>
                    <w:rPr>
                      <w:rFonts w:hint="eastAsia"/>
                      <w:color w:val="auto"/>
                      <w:sz w:val="21"/>
                      <w:szCs w:val="21"/>
                      <w:lang w:val="en-US" w:eastAsia="zh-CN"/>
                    </w:rPr>
                    <w:t>2</w:t>
                  </w:r>
                </w:p>
                <w:p>
                  <w:pPr>
                    <w:pStyle w:val="36"/>
                    <w:bidi w:val="0"/>
                    <w:rPr>
                      <w:color w:val="auto"/>
                      <w:sz w:val="21"/>
                      <w:szCs w:val="21"/>
                    </w:rPr>
                  </w:pPr>
                  <w:r>
                    <w:rPr>
                      <w:color w:val="auto"/>
                      <w:sz w:val="21"/>
                      <w:szCs w:val="21"/>
                    </w:rPr>
                    <w:t>（kg/m</w:t>
                  </w:r>
                  <w:r>
                    <w:rPr>
                      <w:color w:val="auto"/>
                      <w:sz w:val="21"/>
                      <w:szCs w:val="21"/>
                      <w:vertAlign w:val="superscript"/>
                    </w:rPr>
                    <w:t>2</w:t>
                  </w:r>
                  <w:r>
                    <w:rPr>
                      <w:color w:val="auto"/>
                      <w:sz w:val="21"/>
                      <w:szCs w:val="21"/>
                    </w:rPr>
                    <w:t>）</w:t>
                  </w:r>
                </w:p>
              </w:tc>
              <w:tc>
                <w:tcPr>
                  <w:tcW w:w="1254" w:type="dxa"/>
                  <w:noWrap w:val="0"/>
                  <w:vAlign w:val="top"/>
                </w:tcPr>
                <w:p>
                  <w:pPr>
                    <w:pStyle w:val="36"/>
                    <w:bidi w:val="0"/>
                    <w:rPr>
                      <w:rFonts w:hint="eastAsia"/>
                      <w:color w:val="auto"/>
                      <w:sz w:val="21"/>
                      <w:szCs w:val="21"/>
                      <w:lang w:val="en-US" w:eastAsia="zh-CN"/>
                    </w:rPr>
                  </w:pPr>
                  <w:r>
                    <w:rPr>
                      <w:color w:val="auto"/>
                      <w:sz w:val="21"/>
                      <w:szCs w:val="21"/>
                    </w:rPr>
                    <w:t>0.</w:t>
                  </w:r>
                  <w:r>
                    <w:rPr>
                      <w:rFonts w:hint="eastAsia"/>
                      <w:color w:val="auto"/>
                      <w:sz w:val="21"/>
                      <w:szCs w:val="21"/>
                      <w:lang w:val="en-US" w:eastAsia="zh-CN"/>
                    </w:rPr>
                    <w:t>3</w:t>
                  </w:r>
                </w:p>
                <w:p>
                  <w:pPr>
                    <w:pStyle w:val="36"/>
                    <w:bidi w:val="0"/>
                    <w:rPr>
                      <w:color w:val="auto"/>
                      <w:sz w:val="21"/>
                      <w:szCs w:val="21"/>
                    </w:rPr>
                  </w:pPr>
                  <w:r>
                    <w:rPr>
                      <w:color w:val="auto"/>
                      <w:sz w:val="21"/>
                      <w:szCs w:val="21"/>
                    </w:rPr>
                    <w:t>（kg/m</w:t>
                  </w:r>
                  <w:r>
                    <w:rPr>
                      <w:color w:val="auto"/>
                      <w:sz w:val="21"/>
                      <w:szCs w:val="21"/>
                      <w:vertAlign w:val="superscript"/>
                    </w:rPr>
                    <w:t>2</w:t>
                  </w:r>
                  <w:r>
                    <w:rPr>
                      <w:color w:val="auto"/>
                      <w:sz w:val="21"/>
                      <w:szCs w:val="21"/>
                    </w:rPr>
                    <w:t>）</w:t>
                  </w:r>
                </w:p>
              </w:tc>
              <w:tc>
                <w:tcPr>
                  <w:tcW w:w="1254" w:type="dxa"/>
                  <w:noWrap w:val="0"/>
                  <w:vAlign w:val="top"/>
                </w:tcPr>
                <w:p>
                  <w:pPr>
                    <w:pStyle w:val="36"/>
                    <w:bidi w:val="0"/>
                    <w:rPr>
                      <w:rFonts w:hint="eastAsia"/>
                      <w:color w:val="auto"/>
                      <w:sz w:val="21"/>
                      <w:szCs w:val="21"/>
                      <w:lang w:val="en-US" w:eastAsia="zh-CN"/>
                    </w:rPr>
                  </w:pPr>
                  <w:r>
                    <w:rPr>
                      <w:color w:val="auto"/>
                      <w:sz w:val="21"/>
                      <w:szCs w:val="21"/>
                    </w:rPr>
                    <w:t>0.</w:t>
                  </w:r>
                  <w:r>
                    <w:rPr>
                      <w:rFonts w:hint="eastAsia"/>
                      <w:color w:val="auto"/>
                      <w:sz w:val="21"/>
                      <w:szCs w:val="21"/>
                      <w:lang w:val="en-US" w:eastAsia="zh-CN"/>
                    </w:rPr>
                    <w:t>4</w:t>
                  </w:r>
                </w:p>
                <w:p>
                  <w:pPr>
                    <w:pStyle w:val="36"/>
                    <w:bidi w:val="0"/>
                    <w:rPr>
                      <w:color w:val="auto"/>
                      <w:sz w:val="21"/>
                      <w:szCs w:val="21"/>
                    </w:rPr>
                  </w:pPr>
                  <w:r>
                    <w:rPr>
                      <w:color w:val="auto"/>
                      <w:sz w:val="21"/>
                      <w:szCs w:val="21"/>
                    </w:rPr>
                    <w:t>（kg/m</w:t>
                  </w:r>
                  <w:r>
                    <w:rPr>
                      <w:color w:val="auto"/>
                      <w:sz w:val="21"/>
                      <w:szCs w:val="21"/>
                      <w:vertAlign w:val="superscript"/>
                    </w:rPr>
                    <w:t>2</w:t>
                  </w:r>
                  <w:r>
                    <w:rPr>
                      <w:color w:val="auto"/>
                      <w:sz w:val="21"/>
                      <w:szCs w:val="21"/>
                    </w:rPr>
                    <w:t>）</w:t>
                  </w:r>
                </w:p>
              </w:tc>
              <w:tc>
                <w:tcPr>
                  <w:tcW w:w="1254" w:type="dxa"/>
                  <w:noWrap w:val="0"/>
                  <w:vAlign w:val="top"/>
                </w:tcPr>
                <w:p>
                  <w:pPr>
                    <w:pStyle w:val="36"/>
                    <w:bidi w:val="0"/>
                    <w:rPr>
                      <w:rFonts w:hint="eastAsia"/>
                      <w:color w:val="auto"/>
                      <w:sz w:val="21"/>
                      <w:szCs w:val="21"/>
                      <w:lang w:val="en-US" w:eastAsia="zh-CN"/>
                    </w:rPr>
                  </w:pPr>
                  <w:r>
                    <w:rPr>
                      <w:color w:val="auto"/>
                      <w:sz w:val="21"/>
                      <w:szCs w:val="21"/>
                    </w:rPr>
                    <w:t>0</w:t>
                  </w:r>
                  <w:r>
                    <w:rPr>
                      <w:rFonts w:hint="eastAsia"/>
                      <w:color w:val="auto"/>
                      <w:sz w:val="21"/>
                      <w:szCs w:val="21"/>
                      <w:lang w:val="en-US" w:eastAsia="zh-CN"/>
                    </w:rPr>
                    <w:t>.5</w:t>
                  </w:r>
                </w:p>
                <w:p>
                  <w:pPr>
                    <w:pStyle w:val="36"/>
                    <w:bidi w:val="0"/>
                    <w:rPr>
                      <w:color w:val="auto"/>
                      <w:sz w:val="21"/>
                      <w:szCs w:val="21"/>
                    </w:rPr>
                  </w:pPr>
                  <w:r>
                    <w:rPr>
                      <w:color w:val="auto"/>
                      <w:sz w:val="21"/>
                      <w:szCs w:val="21"/>
                    </w:rPr>
                    <w:t>（kg/m</w:t>
                  </w:r>
                  <w:r>
                    <w:rPr>
                      <w:color w:val="auto"/>
                      <w:sz w:val="21"/>
                      <w:szCs w:val="21"/>
                      <w:vertAlign w:val="superscript"/>
                    </w:rPr>
                    <w:t>2</w:t>
                  </w:r>
                  <w:r>
                    <w:rPr>
                      <w:color w:val="auto"/>
                      <w:sz w:val="21"/>
                      <w:szCs w:val="21"/>
                    </w:rPr>
                    <w:t>）</w:t>
                  </w:r>
                </w:p>
              </w:tc>
              <w:tc>
                <w:tcPr>
                  <w:tcW w:w="1258" w:type="dxa"/>
                  <w:noWrap w:val="0"/>
                  <w:vAlign w:val="top"/>
                </w:tcPr>
                <w:p>
                  <w:pPr>
                    <w:pStyle w:val="36"/>
                    <w:bidi w:val="0"/>
                    <w:rPr>
                      <w:rFonts w:hint="eastAsia"/>
                      <w:color w:val="auto"/>
                      <w:sz w:val="21"/>
                      <w:szCs w:val="21"/>
                      <w:lang w:val="en-US" w:eastAsia="zh-CN"/>
                    </w:rPr>
                  </w:pPr>
                  <w:r>
                    <w:rPr>
                      <w:rFonts w:hint="eastAsia"/>
                      <w:color w:val="auto"/>
                      <w:sz w:val="21"/>
                      <w:szCs w:val="21"/>
                      <w:lang w:val="en-US" w:eastAsia="zh-CN"/>
                    </w:rPr>
                    <w:t>1.0</w:t>
                  </w:r>
                </w:p>
                <w:p>
                  <w:pPr>
                    <w:pStyle w:val="36"/>
                    <w:bidi w:val="0"/>
                    <w:rPr>
                      <w:color w:val="auto"/>
                      <w:sz w:val="21"/>
                      <w:szCs w:val="21"/>
                    </w:rPr>
                  </w:pPr>
                  <w:r>
                    <w:rPr>
                      <w:color w:val="auto"/>
                      <w:sz w:val="21"/>
                      <w:szCs w:val="21"/>
                    </w:rPr>
                    <w:t>（kg/m</w:t>
                  </w:r>
                  <w:r>
                    <w:rPr>
                      <w:color w:val="auto"/>
                      <w:sz w:val="21"/>
                      <w:szCs w:val="21"/>
                      <w:vertAlign w:val="superscript"/>
                    </w:rPr>
                    <w:t>2</w:t>
                  </w: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47" w:type="dxa"/>
                  <w:noWrap w:val="0"/>
                  <w:vAlign w:val="center"/>
                </w:tcPr>
                <w:p>
                  <w:pPr>
                    <w:pStyle w:val="36"/>
                    <w:bidi w:val="0"/>
                    <w:jc w:val="center"/>
                    <w:rPr>
                      <w:color w:val="auto"/>
                      <w:sz w:val="21"/>
                      <w:szCs w:val="21"/>
                    </w:rPr>
                  </w:pPr>
                  <w:r>
                    <w:rPr>
                      <w:color w:val="auto"/>
                      <w:sz w:val="21"/>
                      <w:szCs w:val="21"/>
                    </w:rPr>
                    <w:t>5（km/h）</w:t>
                  </w:r>
                </w:p>
              </w:tc>
              <w:tc>
                <w:tcPr>
                  <w:tcW w:w="1254" w:type="dxa"/>
                  <w:noWrap w:val="0"/>
                  <w:vAlign w:val="center"/>
                </w:tcPr>
                <w:p>
                  <w:pPr>
                    <w:pStyle w:val="36"/>
                    <w:bidi w:val="0"/>
                    <w:jc w:val="center"/>
                    <w:rPr>
                      <w:color w:val="auto"/>
                      <w:sz w:val="21"/>
                      <w:szCs w:val="21"/>
                    </w:rPr>
                  </w:pPr>
                  <w:r>
                    <w:rPr>
                      <w:color w:val="auto"/>
                      <w:sz w:val="21"/>
                      <w:szCs w:val="21"/>
                    </w:rPr>
                    <w:t>0.0511</w:t>
                  </w:r>
                </w:p>
              </w:tc>
              <w:tc>
                <w:tcPr>
                  <w:tcW w:w="1254" w:type="dxa"/>
                  <w:noWrap w:val="0"/>
                  <w:vAlign w:val="center"/>
                </w:tcPr>
                <w:p>
                  <w:pPr>
                    <w:pStyle w:val="36"/>
                    <w:bidi w:val="0"/>
                    <w:jc w:val="center"/>
                    <w:rPr>
                      <w:color w:val="auto"/>
                      <w:sz w:val="21"/>
                      <w:szCs w:val="21"/>
                    </w:rPr>
                  </w:pPr>
                  <w:r>
                    <w:rPr>
                      <w:color w:val="auto"/>
                      <w:sz w:val="21"/>
                      <w:szCs w:val="21"/>
                    </w:rPr>
                    <w:t>0.0859</w:t>
                  </w:r>
                </w:p>
              </w:tc>
              <w:tc>
                <w:tcPr>
                  <w:tcW w:w="1254" w:type="dxa"/>
                  <w:noWrap w:val="0"/>
                  <w:vAlign w:val="center"/>
                </w:tcPr>
                <w:p>
                  <w:pPr>
                    <w:pStyle w:val="36"/>
                    <w:bidi w:val="0"/>
                    <w:jc w:val="center"/>
                    <w:rPr>
                      <w:color w:val="auto"/>
                      <w:sz w:val="21"/>
                      <w:szCs w:val="21"/>
                    </w:rPr>
                  </w:pPr>
                  <w:r>
                    <w:rPr>
                      <w:color w:val="auto"/>
                      <w:sz w:val="21"/>
                      <w:szCs w:val="21"/>
                    </w:rPr>
                    <w:t>0.1164</w:t>
                  </w:r>
                </w:p>
              </w:tc>
              <w:tc>
                <w:tcPr>
                  <w:tcW w:w="1254" w:type="dxa"/>
                  <w:noWrap w:val="0"/>
                  <w:vAlign w:val="center"/>
                </w:tcPr>
                <w:p>
                  <w:pPr>
                    <w:pStyle w:val="36"/>
                    <w:bidi w:val="0"/>
                    <w:jc w:val="center"/>
                    <w:rPr>
                      <w:color w:val="auto"/>
                      <w:sz w:val="21"/>
                      <w:szCs w:val="21"/>
                    </w:rPr>
                  </w:pPr>
                  <w:r>
                    <w:rPr>
                      <w:color w:val="auto"/>
                      <w:sz w:val="21"/>
                      <w:szCs w:val="21"/>
                    </w:rPr>
                    <w:t>0.1444</w:t>
                  </w:r>
                </w:p>
              </w:tc>
              <w:tc>
                <w:tcPr>
                  <w:tcW w:w="1254" w:type="dxa"/>
                  <w:noWrap w:val="0"/>
                  <w:vAlign w:val="center"/>
                </w:tcPr>
                <w:p>
                  <w:pPr>
                    <w:pStyle w:val="36"/>
                    <w:bidi w:val="0"/>
                    <w:jc w:val="center"/>
                    <w:rPr>
                      <w:color w:val="auto"/>
                      <w:sz w:val="21"/>
                      <w:szCs w:val="21"/>
                    </w:rPr>
                  </w:pPr>
                  <w:r>
                    <w:rPr>
                      <w:color w:val="auto"/>
                      <w:sz w:val="21"/>
                      <w:szCs w:val="21"/>
                    </w:rPr>
                    <w:t>0.1707</w:t>
                  </w:r>
                </w:p>
              </w:tc>
              <w:tc>
                <w:tcPr>
                  <w:tcW w:w="1258" w:type="dxa"/>
                  <w:noWrap w:val="0"/>
                  <w:vAlign w:val="center"/>
                </w:tcPr>
                <w:p>
                  <w:pPr>
                    <w:pStyle w:val="36"/>
                    <w:bidi w:val="0"/>
                    <w:jc w:val="center"/>
                    <w:rPr>
                      <w:color w:val="auto"/>
                      <w:sz w:val="21"/>
                      <w:szCs w:val="21"/>
                    </w:rPr>
                  </w:pPr>
                  <w:r>
                    <w:rPr>
                      <w:color w:val="auto"/>
                      <w:sz w:val="21"/>
                      <w:szCs w:val="21"/>
                    </w:rPr>
                    <w:t>0.2871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47" w:type="dxa"/>
                  <w:noWrap w:val="0"/>
                  <w:vAlign w:val="center"/>
                </w:tcPr>
                <w:p>
                  <w:pPr>
                    <w:pStyle w:val="36"/>
                    <w:bidi w:val="0"/>
                    <w:jc w:val="center"/>
                    <w:rPr>
                      <w:color w:val="auto"/>
                      <w:sz w:val="21"/>
                      <w:szCs w:val="21"/>
                    </w:rPr>
                  </w:pPr>
                  <w:r>
                    <w:rPr>
                      <w:rFonts w:hint="eastAsia"/>
                      <w:color w:val="auto"/>
                      <w:sz w:val="21"/>
                      <w:szCs w:val="21"/>
                      <w:lang w:val="en-US" w:eastAsia="zh-CN"/>
                    </w:rPr>
                    <w:t>10</w:t>
                  </w:r>
                  <w:r>
                    <w:rPr>
                      <w:color w:val="auto"/>
                      <w:sz w:val="21"/>
                      <w:szCs w:val="21"/>
                    </w:rPr>
                    <w:t>（km/h）</w:t>
                  </w:r>
                </w:p>
              </w:tc>
              <w:tc>
                <w:tcPr>
                  <w:tcW w:w="1254" w:type="dxa"/>
                  <w:noWrap w:val="0"/>
                  <w:vAlign w:val="center"/>
                </w:tcPr>
                <w:p>
                  <w:pPr>
                    <w:pStyle w:val="36"/>
                    <w:bidi w:val="0"/>
                    <w:jc w:val="center"/>
                    <w:rPr>
                      <w:color w:val="auto"/>
                      <w:sz w:val="21"/>
                      <w:szCs w:val="21"/>
                    </w:rPr>
                  </w:pPr>
                  <w:r>
                    <w:rPr>
                      <w:color w:val="auto"/>
                      <w:sz w:val="21"/>
                      <w:szCs w:val="21"/>
                    </w:rPr>
                    <w:t>0.1021</w:t>
                  </w:r>
                </w:p>
              </w:tc>
              <w:tc>
                <w:tcPr>
                  <w:tcW w:w="1254" w:type="dxa"/>
                  <w:noWrap w:val="0"/>
                  <w:vAlign w:val="center"/>
                </w:tcPr>
                <w:p>
                  <w:pPr>
                    <w:pStyle w:val="36"/>
                    <w:bidi w:val="0"/>
                    <w:jc w:val="center"/>
                    <w:rPr>
                      <w:color w:val="auto"/>
                      <w:sz w:val="21"/>
                      <w:szCs w:val="21"/>
                    </w:rPr>
                  </w:pPr>
                  <w:r>
                    <w:rPr>
                      <w:color w:val="auto"/>
                      <w:sz w:val="21"/>
                      <w:szCs w:val="21"/>
                    </w:rPr>
                    <w:t>0.1717</w:t>
                  </w:r>
                </w:p>
              </w:tc>
              <w:tc>
                <w:tcPr>
                  <w:tcW w:w="1254" w:type="dxa"/>
                  <w:noWrap w:val="0"/>
                  <w:vAlign w:val="center"/>
                </w:tcPr>
                <w:p>
                  <w:pPr>
                    <w:pStyle w:val="36"/>
                    <w:bidi w:val="0"/>
                    <w:jc w:val="center"/>
                    <w:rPr>
                      <w:color w:val="auto"/>
                      <w:sz w:val="21"/>
                      <w:szCs w:val="21"/>
                    </w:rPr>
                  </w:pPr>
                  <w:r>
                    <w:rPr>
                      <w:color w:val="auto"/>
                      <w:sz w:val="21"/>
                      <w:szCs w:val="21"/>
                    </w:rPr>
                    <w:t>0.2328</w:t>
                  </w:r>
                </w:p>
              </w:tc>
              <w:tc>
                <w:tcPr>
                  <w:tcW w:w="1254" w:type="dxa"/>
                  <w:noWrap w:val="0"/>
                  <w:vAlign w:val="center"/>
                </w:tcPr>
                <w:p>
                  <w:pPr>
                    <w:pStyle w:val="36"/>
                    <w:bidi w:val="0"/>
                    <w:jc w:val="center"/>
                    <w:rPr>
                      <w:color w:val="auto"/>
                      <w:sz w:val="21"/>
                      <w:szCs w:val="21"/>
                    </w:rPr>
                  </w:pPr>
                  <w:r>
                    <w:rPr>
                      <w:color w:val="auto"/>
                      <w:sz w:val="21"/>
                      <w:szCs w:val="21"/>
                    </w:rPr>
                    <w:t>0.2888</w:t>
                  </w:r>
                </w:p>
              </w:tc>
              <w:tc>
                <w:tcPr>
                  <w:tcW w:w="1254" w:type="dxa"/>
                  <w:noWrap w:val="0"/>
                  <w:vAlign w:val="center"/>
                </w:tcPr>
                <w:p>
                  <w:pPr>
                    <w:pStyle w:val="36"/>
                    <w:bidi w:val="0"/>
                    <w:jc w:val="center"/>
                    <w:rPr>
                      <w:color w:val="auto"/>
                      <w:sz w:val="21"/>
                      <w:szCs w:val="21"/>
                    </w:rPr>
                  </w:pPr>
                  <w:r>
                    <w:rPr>
                      <w:color w:val="auto"/>
                      <w:sz w:val="21"/>
                      <w:szCs w:val="21"/>
                    </w:rPr>
                    <w:t>0.3414</w:t>
                  </w:r>
                </w:p>
              </w:tc>
              <w:tc>
                <w:tcPr>
                  <w:tcW w:w="1258" w:type="dxa"/>
                  <w:noWrap w:val="0"/>
                  <w:vAlign w:val="center"/>
                </w:tcPr>
                <w:p>
                  <w:pPr>
                    <w:pStyle w:val="36"/>
                    <w:bidi w:val="0"/>
                    <w:jc w:val="center"/>
                    <w:rPr>
                      <w:color w:val="auto"/>
                      <w:sz w:val="21"/>
                      <w:szCs w:val="21"/>
                    </w:rPr>
                  </w:pPr>
                  <w:r>
                    <w:rPr>
                      <w:color w:val="auto"/>
                      <w:sz w:val="21"/>
                      <w:szCs w:val="21"/>
                    </w:rPr>
                    <w:t>0.5742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47" w:type="dxa"/>
                  <w:noWrap w:val="0"/>
                  <w:vAlign w:val="center"/>
                </w:tcPr>
                <w:p>
                  <w:pPr>
                    <w:pStyle w:val="36"/>
                    <w:bidi w:val="0"/>
                    <w:jc w:val="center"/>
                    <w:rPr>
                      <w:color w:val="auto"/>
                      <w:sz w:val="21"/>
                      <w:szCs w:val="21"/>
                    </w:rPr>
                  </w:pPr>
                  <w:r>
                    <w:rPr>
                      <w:rFonts w:hint="eastAsia"/>
                      <w:color w:val="auto"/>
                      <w:sz w:val="21"/>
                      <w:szCs w:val="21"/>
                      <w:lang w:val="en-US" w:eastAsia="zh-CN"/>
                    </w:rPr>
                    <w:t>15</w:t>
                  </w:r>
                  <w:r>
                    <w:rPr>
                      <w:color w:val="auto"/>
                      <w:sz w:val="21"/>
                      <w:szCs w:val="21"/>
                    </w:rPr>
                    <w:t>（km/h）</w:t>
                  </w:r>
                </w:p>
              </w:tc>
              <w:tc>
                <w:tcPr>
                  <w:tcW w:w="1254" w:type="dxa"/>
                  <w:noWrap w:val="0"/>
                  <w:vAlign w:val="center"/>
                </w:tcPr>
                <w:p>
                  <w:pPr>
                    <w:pStyle w:val="36"/>
                    <w:bidi w:val="0"/>
                    <w:jc w:val="center"/>
                    <w:rPr>
                      <w:color w:val="auto"/>
                      <w:sz w:val="21"/>
                      <w:szCs w:val="21"/>
                    </w:rPr>
                  </w:pPr>
                  <w:r>
                    <w:rPr>
                      <w:color w:val="auto"/>
                      <w:sz w:val="21"/>
                      <w:szCs w:val="21"/>
                    </w:rPr>
                    <w:t>0.1532</w:t>
                  </w:r>
                </w:p>
              </w:tc>
              <w:tc>
                <w:tcPr>
                  <w:tcW w:w="1254" w:type="dxa"/>
                  <w:noWrap w:val="0"/>
                  <w:vAlign w:val="center"/>
                </w:tcPr>
                <w:p>
                  <w:pPr>
                    <w:pStyle w:val="36"/>
                    <w:bidi w:val="0"/>
                    <w:jc w:val="center"/>
                    <w:rPr>
                      <w:color w:val="auto"/>
                      <w:sz w:val="21"/>
                      <w:szCs w:val="21"/>
                    </w:rPr>
                  </w:pPr>
                  <w:r>
                    <w:rPr>
                      <w:color w:val="auto"/>
                      <w:sz w:val="21"/>
                      <w:szCs w:val="21"/>
                    </w:rPr>
                    <w:t>0.2576</w:t>
                  </w:r>
                </w:p>
              </w:tc>
              <w:tc>
                <w:tcPr>
                  <w:tcW w:w="1254" w:type="dxa"/>
                  <w:noWrap w:val="0"/>
                  <w:vAlign w:val="center"/>
                </w:tcPr>
                <w:p>
                  <w:pPr>
                    <w:pStyle w:val="36"/>
                    <w:bidi w:val="0"/>
                    <w:jc w:val="center"/>
                    <w:rPr>
                      <w:color w:val="auto"/>
                      <w:sz w:val="21"/>
                      <w:szCs w:val="21"/>
                    </w:rPr>
                  </w:pPr>
                  <w:r>
                    <w:rPr>
                      <w:color w:val="auto"/>
                      <w:sz w:val="21"/>
                      <w:szCs w:val="21"/>
                    </w:rPr>
                    <w:t>0.3491</w:t>
                  </w:r>
                </w:p>
              </w:tc>
              <w:tc>
                <w:tcPr>
                  <w:tcW w:w="1254" w:type="dxa"/>
                  <w:noWrap w:val="0"/>
                  <w:vAlign w:val="center"/>
                </w:tcPr>
                <w:p>
                  <w:pPr>
                    <w:pStyle w:val="36"/>
                    <w:bidi w:val="0"/>
                    <w:jc w:val="center"/>
                    <w:rPr>
                      <w:color w:val="auto"/>
                      <w:sz w:val="21"/>
                      <w:szCs w:val="21"/>
                    </w:rPr>
                  </w:pPr>
                  <w:r>
                    <w:rPr>
                      <w:color w:val="auto"/>
                      <w:sz w:val="21"/>
                      <w:szCs w:val="21"/>
                    </w:rPr>
                    <w:t>0.4332</w:t>
                  </w:r>
                </w:p>
              </w:tc>
              <w:tc>
                <w:tcPr>
                  <w:tcW w:w="1254" w:type="dxa"/>
                  <w:noWrap w:val="0"/>
                  <w:vAlign w:val="center"/>
                </w:tcPr>
                <w:p>
                  <w:pPr>
                    <w:pStyle w:val="36"/>
                    <w:bidi w:val="0"/>
                    <w:jc w:val="center"/>
                    <w:rPr>
                      <w:color w:val="auto"/>
                      <w:sz w:val="21"/>
                      <w:szCs w:val="21"/>
                    </w:rPr>
                  </w:pPr>
                  <w:r>
                    <w:rPr>
                      <w:color w:val="auto"/>
                      <w:sz w:val="21"/>
                      <w:szCs w:val="21"/>
                    </w:rPr>
                    <w:t>0.5121</w:t>
                  </w:r>
                </w:p>
              </w:tc>
              <w:tc>
                <w:tcPr>
                  <w:tcW w:w="1258" w:type="dxa"/>
                  <w:noWrap w:val="0"/>
                  <w:vAlign w:val="center"/>
                </w:tcPr>
                <w:p>
                  <w:pPr>
                    <w:pStyle w:val="36"/>
                    <w:bidi w:val="0"/>
                    <w:jc w:val="center"/>
                    <w:rPr>
                      <w:color w:val="auto"/>
                      <w:sz w:val="21"/>
                      <w:szCs w:val="21"/>
                    </w:rPr>
                  </w:pPr>
                  <w:r>
                    <w:rPr>
                      <w:color w:val="auto"/>
                      <w:sz w:val="21"/>
                      <w:szCs w:val="21"/>
                    </w:rPr>
                    <w:t>0.8613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47" w:type="dxa"/>
                  <w:noWrap w:val="0"/>
                  <w:vAlign w:val="center"/>
                </w:tcPr>
                <w:p>
                  <w:pPr>
                    <w:pStyle w:val="36"/>
                    <w:bidi w:val="0"/>
                    <w:jc w:val="center"/>
                    <w:rPr>
                      <w:color w:val="auto"/>
                      <w:sz w:val="21"/>
                      <w:szCs w:val="21"/>
                    </w:rPr>
                  </w:pPr>
                  <w:r>
                    <w:rPr>
                      <w:rFonts w:hint="eastAsia"/>
                      <w:color w:val="auto"/>
                      <w:sz w:val="21"/>
                      <w:szCs w:val="21"/>
                      <w:lang w:val="en-US" w:eastAsia="zh-CN"/>
                    </w:rPr>
                    <w:t>2</w:t>
                  </w:r>
                  <w:r>
                    <w:rPr>
                      <w:color w:val="auto"/>
                      <w:sz w:val="21"/>
                      <w:szCs w:val="21"/>
                    </w:rPr>
                    <w:t>5（km/h）</w:t>
                  </w:r>
                </w:p>
              </w:tc>
              <w:tc>
                <w:tcPr>
                  <w:tcW w:w="1254" w:type="dxa"/>
                  <w:noWrap w:val="0"/>
                  <w:vAlign w:val="center"/>
                </w:tcPr>
                <w:p>
                  <w:pPr>
                    <w:pStyle w:val="36"/>
                    <w:bidi w:val="0"/>
                    <w:jc w:val="center"/>
                    <w:rPr>
                      <w:color w:val="auto"/>
                      <w:sz w:val="21"/>
                      <w:szCs w:val="21"/>
                    </w:rPr>
                  </w:pPr>
                  <w:r>
                    <w:rPr>
                      <w:color w:val="auto"/>
                      <w:sz w:val="21"/>
                      <w:szCs w:val="21"/>
                    </w:rPr>
                    <w:t>0.2553</w:t>
                  </w:r>
                </w:p>
              </w:tc>
              <w:tc>
                <w:tcPr>
                  <w:tcW w:w="1254" w:type="dxa"/>
                  <w:noWrap w:val="0"/>
                  <w:vAlign w:val="center"/>
                </w:tcPr>
                <w:p>
                  <w:pPr>
                    <w:pStyle w:val="36"/>
                    <w:bidi w:val="0"/>
                    <w:jc w:val="center"/>
                    <w:rPr>
                      <w:color w:val="auto"/>
                      <w:sz w:val="21"/>
                      <w:szCs w:val="21"/>
                    </w:rPr>
                  </w:pPr>
                  <w:r>
                    <w:rPr>
                      <w:color w:val="auto"/>
                      <w:sz w:val="21"/>
                      <w:szCs w:val="21"/>
                    </w:rPr>
                    <w:t>0.4293</w:t>
                  </w:r>
                </w:p>
              </w:tc>
              <w:tc>
                <w:tcPr>
                  <w:tcW w:w="1254" w:type="dxa"/>
                  <w:noWrap w:val="0"/>
                  <w:vAlign w:val="center"/>
                </w:tcPr>
                <w:p>
                  <w:pPr>
                    <w:pStyle w:val="36"/>
                    <w:bidi w:val="0"/>
                    <w:jc w:val="center"/>
                    <w:rPr>
                      <w:color w:val="auto"/>
                      <w:sz w:val="21"/>
                      <w:szCs w:val="21"/>
                    </w:rPr>
                  </w:pPr>
                  <w:r>
                    <w:rPr>
                      <w:color w:val="auto"/>
                      <w:sz w:val="21"/>
                      <w:szCs w:val="21"/>
                    </w:rPr>
                    <w:t>0.5819</w:t>
                  </w:r>
                </w:p>
              </w:tc>
              <w:tc>
                <w:tcPr>
                  <w:tcW w:w="1254" w:type="dxa"/>
                  <w:noWrap w:val="0"/>
                  <w:vAlign w:val="center"/>
                </w:tcPr>
                <w:p>
                  <w:pPr>
                    <w:pStyle w:val="36"/>
                    <w:bidi w:val="0"/>
                    <w:jc w:val="center"/>
                    <w:rPr>
                      <w:color w:val="auto"/>
                      <w:sz w:val="21"/>
                      <w:szCs w:val="21"/>
                    </w:rPr>
                  </w:pPr>
                  <w:r>
                    <w:rPr>
                      <w:color w:val="auto"/>
                      <w:sz w:val="21"/>
                      <w:szCs w:val="21"/>
                    </w:rPr>
                    <w:t>0.7220</w:t>
                  </w:r>
                </w:p>
              </w:tc>
              <w:tc>
                <w:tcPr>
                  <w:tcW w:w="1254" w:type="dxa"/>
                  <w:noWrap w:val="0"/>
                  <w:vAlign w:val="center"/>
                </w:tcPr>
                <w:p>
                  <w:pPr>
                    <w:pStyle w:val="36"/>
                    <w:bidi w:val="0"/>
                    <w:jc w:val="center"/>
                    <w:rPr>
                      <w:color w:val="auto"/>
                      <w:sz w:val="21"/>
                      <w:szCs w:val="21"/>
                    </w:rPr>
                  </w:pPr>
                  <w:r>
                    <w:rPr>
                      <w:color w:val="auto"/>
                      <w:sz w:val="21"/>
                      <w:szCs w:val="21"/>
                    </w:rPr>
                    <w:t>0.8536</w:t>
                  </w:r>
                </w:p>
              </w:tc>
              <w:tc>
                <w:tcPr>
                  <w:tcW w:w="1258" w:type="dxa"/>
                  <w:noWrap w:val="0"/>
                  <w:vAlign w:val="center"/>
                </w:tcPr>
                <w:p>
                  <w:pPr>
                    <w:pStyle w:val="36"/>
                    <w:bidi w:val="0"/>
                    <w:jc w:val="center"/>
                    <w:rPr>
                      <w:color w:val="auto"/>
                      <w:sz w:val="21"/>
                      <w:szCs w:val="21"/>
                    </w:rPr>
                  </w:pPr>
                  <w:r>
                    <w:rPr>
                      <w:color w:val="auto"/>
                      <w:sz w:val="21"/>
                      <w:szCs w:val="21"/>
                    </w:rPr>
                    <w:t>1.4355</w:t>
                  </w:r>
                </w:p>
              </w:tc>
            </w:tr>
          </w:tbl>
          <w:p>
            <w:pPr>
              <w:keepNext w:val="0"/>
              <w:keepLines w:val="0"/>
              <w:pageBreakBefore w:val="0"/>
              <w:widowControl w:val="0"/>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表可见，由于车辆运输过程中产生的道路扬尘量与车辆行驶速度有关，在同样路面清洁程度条件下，速度越快，其扬尘量越大，所以在施工场地，对施工车辆必须实施限速行驶；而在同样车速情况下，路面越脏，则扬尘量越大。因此限制车辆行驶速度及保持</w:t>
            </w:r>
            <w:r>
              <w:rPr>
                <w:rFonts w:hint="default" w:ascii="Times New Roman" w:hAnsi="Times New Roman" w:eastAsia="宋体" w:cs="Times New Roman"/>
                <w:color w:val="auto"/>
                <w:sz w:val="24"/>
                <w:szCs w:val="24"/>
                <w:lang w:val="en-US" w:eastAsia="zh-CN"/>
              </w:rPr>
              <w:t>路面</w:t>
            </w:r>
            <w:r>
              <w:rPr>
                <w:rFonts w:hint="default" w:ascii="Times New Roman" w:hAnsi="Times New Roman" w:eastAsia="宋体" w:cs="Times New Roman"/>
                <w:color w:val="auto"/>
                <w:sz w:val="24"/>
                <w:szCs w:val="24"/>
              </w:rPr>
              <w:t>的清洁是减少</w:t>
            </w:r>
            <w:r>
              <w:rPr>
                <w:rFonts w:hint="default" w:ascii="Times New Roman" w:hAnsi="Times New Roman" w:eastAsia="宋体" w:cs="Times New Roman"/>
                <w:color w:val="auto"/>
                <w:sz w:val="24"/>
                <w:szCs w:val="24"/>
                <w:lang w:val="en-US" w:eastAsia="zh-CN"/>
              </w:rPr>
              <w:t>运输</w:t>
            </w:r>
            <w:r>
              <w:rPr>
                <w:rFonts w:hint="default" w:ascii="Times New Roman" w:hAnsi="Times New Roman" w:eastAsia="宋体" w:cs="Times New Roman"/>
                <w:color w:val="auto"/>
                <w:sz w:val="24"/>
                <w:szCs w:val="24"/>
              </w:rPr>
              <w:t>扬尘的最有效手段。</w:t>
            </w:r>
          </w:p>
          <w:p>
            <w:pPr>
              <w:keepNext w:val="0"/>
              <w:keepLines w:val="0"/>
              <w:pageBreakBefore w:val="0"/>
              <w:widowControl w:val="0"/>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如果施工阶段对汽车行驶路面勤洒水（每天4~5次），可以使空气中粉尘量减少 70%~90%左右，起到很好的降尘效果。当施工场地洒水频率为4~5次/d时，扬尘造成的 TSP污染距离可缩小到20~50m范围内，预计对周围环境影响较小。</w:t>
            </w:r>
          </w:p>
          <w:p>
            <w:pPr>
              <w:keepNext w:val="0"/>
              <w:keepLines w:val="0"/>
              <w:pageBreakBefore w:val="0"/>
              <w:widowControl w:val="0"/>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本项目所需</w:t>
            </w:r>
            <w:r>
              <w:rPr>
                <w:rFonts w:hint="default" w:ascii="Times New Roman" w:hAnsi="Times New Roman" w:eastAsia="宋体" w:cs="Times New Roman"/>
                <w:color w:val="auto"/>
                <w:sz w:val="24"/>
                <w:szCs w:val="24"/>
                <w:lang w:val="en-US" w:eastAsia="zh-CN"/>
              </w:rPr>
              <w:t>物料均采用</w:t>
            </w:r>
            <w:r>
              <w:rPr>
                <w:rFonts w:hint="default" w:ascii="Times New Roman" w:hAnsi="Times New Roman" w:eastAsia="宋体" w:cs="Times New Roman"/>
                <w:color w:val="auto"/>
                <w:sz w:val="24"/>
                <w:szCs w:val="24"/>
              </w:rPr>
              <w:t>外购</w:t>
            </w:r>
            <w:r>
              <w:rPr>
                <w:rFonts w:hint="default" w:ascii="Times New Roman" w:hAnsi="Times New Roman" w:eastAsia="宋体" w:cs="Times New Roman"/>
                <w:color w:val="auto"/>
                <w:sz w:val="24"/>
                <w:szCs w:val="24"/>
                <w:lang w:val="en-US" w:eastAsia="zh-CN"/>
              </w:rPr>
              <w:t>方式</w:t>
            </w:r>
            <w:r>
              <w:rPr>
                <w:rFonts w:hint="default" w:ascii="Times New Roman" w:hAnsi="Times New Roman" w:eastAsia="宋体" w:cs="Times New Roman"/>
                <w:color w:val="auto"/>
                <w:sz w:val="24"/>
                <w:szCs w:val="24"/>
              </w:rPr>
              <w:t>，无需</w:t>
            </w:r>
            <w:r>
              <w:rPr>
                <w:rFonts w:hint="default" w:ascii="Times New Roman" w:hAnsi="Times New Roman" w:eastAsia="宋体" w:cs="Times New Roman"/>
                <w:color w:val="auto"/>
                <w:sz w:val="24"/>
                <w:szCs w:val="24"/>
                <w:lang w:val="en-US" w:eastAsia="zh-CN"/>
              </w:rPr>
              <w:t>项目场地</w:t>
            </w:r>
            <w:r>
              <w:rPr>
                <w:rFonts w:hint="default" w:ascii="Times New Roman" w:hAnsi="Times New Roman" w:eastAsia="宋体" w:cs="Times New Roman"/>
                <w:color w:val="auto"/>
                <w:sz w:val="24"/>
                <w:szCs w:val="24"/>
              </w:rPr>
              <w:t>自取，</w:t>
            </w:r>
            <w:r>
              <w:rPr>
                <w:rFonts w:hint="default" w:ascii="Times New Roman" w:hAnsi="Times New Roman" w:eastAsia="宋体" w:cs="Times New Roman"/>
                <w:color w:val="auto"/>
                <w:sz w:val="24"/>
                <w:szCs w:val="24"/>
                <w:lang w:val="en-US" w:eastAsia="zh-CN"/>
              </w:rPr>
              <w:t>因此，</w:t>
            </w:r>
            <w:r>
              <w:rPr>
                <w:rFonts w:hint="default" w:ascii="Times New Roman" w:hAnsi="Times New Roman" w:eastAsia="宋体" w:cs="Times New Roman"/>
                <w:color w:val="auto"/>
                <w:sz w:val="24"/>
                <w:szCs w:val="24"/>
              </w:rPr>
              <w:t>建议运输车辆途经村镇或居民区时采取车辆限速</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施工现场的道路采用混凝土硬化；施工运输车辆出口内侧应当铺设混凝土路面</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并在出口处设置车轮冲洗设备及相应的排水和</w:t>
            </w:r>
            <w:r>
              <w:rPr>
                <w:rFonts w:hint="default" w:ascii="Times New Roman" w:hAnsi="Times New Roman" w:eastAsia="宋体" w:cs="Times New Roman"/>
                <w:color w:val="auto"/>
                <w:sz w:val="24"/>
                <w:szCs w:val="24"/>
                <w:lang w:val="en-US" w:eastAsia="zh-CN"/>
              </w:rPr>
              <w:t>沉淀池，</w:t>
            </w:r>
            <w:r>
              <w:rPr>
                <w:rFonts w:hint="default" w:ascii="Times New Roman" w:hAnsi="Times New Roman" w:eastAsia="宋体" w:cs="Times New Roman"/>
                <w:color w:val="auto"/>
                <w:sz w:val="24"/>
                <w:szCs w:val="24"/>
              </w:rPr>
              <w:t>加强雨天土方运输管理，严禁车体带泥上路</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路面洒水及保持路面整洁、严格限制运输车辆超载、</w:t>
            </w:r>
            <w:r>
              <w:rPr>
                <w:rFonts w:hint="default" w:ascii="Times New Roman" w:hAnsi="Times New Roman" w:eastAsia="宋体" w:cs="Times New Roman"/>
                <w:color w:val="auto"/>
                <w:sz w:val="24"/>
                <w:szCs w:val="24"/>
                <w:lang w:val="en-US" w:eastAsia="zh-CN"/>
              </w:rPr>
              <w:t>物料</w:t>
            </w:r>
            <w:r>
              <w:rPr>
                <w:rFonts w:hint="default" w:ascii="Times New Roman" w:hAnsi="Times New Roman" w:eastAsia="宋体" w:cs="Times New Roman"/>
                <w:color w:val="auto"/>
                <w:sz w:val="24"/>
                <w:szCs w:val="24"/>
              </w:rPr>
              <w:t>运输时采取</w:t>
            </w:r>
            <w:r>
              <w:rPr>
                <w:rFonts w:hint="default" w:ascii="Times New Roman" w:hAnsi="Times New Roman" w:eastAsia="宋体" w:cs="Times New Roman"/>
                <w:color w:val="auto"/>
                <w:sz w:val="24"/>
                <w:szCs w:val="24"/>
                <w:lang w:val="en-US" w:eastAsia="zh-CN"/>
              </w:rPr>
              <w:t>苫盖</w:t>
            </w:r>
            <w:r>
              <w:rPr>
                <w:rFonts w:hint="default" w:ascii="Times New Roman" w:hAnsi="Times New Roman" w:eastAsia="宋体" w:cs="Times New Roman"/>
                <w:color w:val="auto"/>
                <w:sz w:val="24"/>
                <w:szCs w:val="24"/>
              </w:rPr>
              <w:t>、密闭等措施，防止在运输过程中因遗撒或者泄漏而产生</w:t>
            </w:r>
            <w:r>
              <w:rPr>
                <w:rFonts w:hint="default" w:ascii="Times New Roman" w:hAnsi="Times New Roman" w:eastAsia="宋体" w:cs="Times New Roman"/>
                <w:color w:val="auto"/>
                <w:sz w:val="24"/>
                <w:szCs w:val="24"/>
                <w:lang w:val="en-US" w:eastAsia="zh-CN"/>
              </w:rPr>
              <w:t>二次</w:t>
            </w:r>
            <w:r>
              <w:rPr>
                <w:rFonts w:hint="default" w:ascii="Times New Roman" w:hAnsi="Times New Roman" w:eastAsia="宋体" w:cs="Times New Roman"/>
                <w:color w:val="auto"/>
                <w:sz w:val="24"/>
                <w:szCs w:val="24"/>
              </w:rPr>
              <w:t>扬尘；随着建设期的结束车辆行驶扬尘的影响也随之消失。</w:t>
            </w:r>
          </w:p>
          <w:p>
            <w:pPr>
              <w:keepNext w:val="0"/>
              <w:keepLines w:val="0"/>
              <w:pageBreakBefore w:val="0"/>
              <w:widowControl/>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1.3机械燃油废气</w:t>
            </w:r>
          </w:p>
          <w:p>
            <w:pPr>
              <w:keepNext w:val="0"/>
              <w:keepLines w:val="0"/>
              <w:pageBreakBefore w:val="0"/>
              <w:widowControl/>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lang w:val="en-US" w:eastAsia="zh-CN"/>
              </w:rPr>
              <w:t>施工车辆（运输车辆）、施工机械（挖掘机、推土机、装载机等）一般采用柴油作为燃料，产生的污染物为CO、NO</w:t>
            </w:r>
            <w:r>
              <w:rPr>
                <w:rFonts w:hint="default" w:ascii="Times New Roman" w:hAnsi="Times New Roman" w:eastAsia="宋体" w:cs="Times New Roman"/>
                <w:color w:val="auto"/>
                <w:sz w:val="24"/>
                <w:szCs w:val="24"/>
                <w:vertAlign w:val="subscript"/>
                <w:lang w:val="en-US" w:eastAsia="zh-CN"/>
              </w:rPr>
              <w:t>X</w:t>
            </w:r>
            <w:r>
              <w:rPr>
                <w:rFonts w:hint="default" w:ascii="Times New Roman" w:hAnsi="Times New Roman" w:eastAsia="宋体" w:cs="Times New Roman"/>
                <w:color w:val="auto"/>
                <w:sz w:val="24"/>
                <w:szCs w:val="24"/>
                <w:lang w:val="en-US" w:eastAsia="zh-CN"/>
              </w:rPr>
              <w:t>、SO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由于本项目施工机械布设也较为分散，且全部机械并非同时使用，而是根据施工进度，分时段的开展施工作业。运输</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机械污染源基本上属于流动性、间歇性、源强相对较小的污染源。施工区呈线状分布，道路两侧地势开阔，大气扩散条件较好，有利于</w:t>
            </w:r>
            <w:r>
              <w:rPr>
                <w:rFonts w:hint="default" w:ascii="Times New Roman" w:hAnsi="Times New Roman" w:eastAsia="宋体" w:cs="Times New Roman"/>
                <w:color w:val="auto"/>
                <w:sz w:val="24"/>
                <w:szCs w:val="24"/>
                <w:lang w:val="en-US" w:eastAsia="zh-CN"/>
              </w:rPr>
              <w:t>污染物的扩散。施工过程中，燃油废气均为近地表排放，排放强度较小，总体上施工</w:t>
            </w:r>
            <w:r>
              <w:rPr>
                <w:rFonts w:hint="default" w:ascii="Times New Roman" w:hAnsi="Times New Roman" w:eastAsia="宋体" w:cs="Times New Roman"/>
                <w:color w:val="auto"/>
                <w:sz w:val="24"/>
                <w:szCs w:val="24"/>
              </w:rPr>
              <w:t>机械排放废气对空气质量的影响仅限于施工现场及临近区域，具有污染范围小、程度轻的特点，对项目设计区域空气环境质量总体影响不大。施工期间应加强施工机械、车辆保养及养护，使之处于良好的工作状态，尽可能采用低排放的设备，减轻废气排放对附近空气的污染。</w:t>
            </w:r>
          </w:p>
          <w:p>
            <w:pPr>
              <w:keepNext w:val="0"/>
              <w:keepLines w:val="0"/>
              <w:pageBreakBefore w:val="0"/>
              <w:widowControl w:val="0"/>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施工机械废气防治措施如下：</w:t>
            </w:r>
          </w:p>
          <w:p>
            <w:pPr>
              <w:keepNext w:val="0"/>
              <w:keepLines w:val="0"/>
              <w:pageBreakBefore w:val="0"/>
              <w:widowControl w:val="0"/>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施工机械进入施工现场时，尽量确保正常运行时间，减少怠速和减速时间；</w:t>
            </w:r>
          </w:p>
          <w:p>
            <w:pPr>
              <w:keepNext w:val="0"/>
              <w:keepLines w:val="0"/>
              <w:pageBreakBefore w:val="0"/>
              <w:widowControl w:val="0"/>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所有施工机械使用环保型施工机械，燃油机车和施工机械尽可能使用清洁能源，对排烟大的施工机械安装消烟装置；</w:t>
            </w:r>
          </w:p>
          <w:p>
            <w:pPr>
              <w:keepNext w:val="0"/>
              <w:keepLines w:val="0"/>
              <w:pageBreakBefore w:val="0"/>
              <w:widowControl w:val="0"/>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施工机械和运输车辆采用耗油量低、尾气排放达标的机械、车辆；</w:t>
            </w:r>
          </w:p>
          <w:p>
            <w:pPr>
              <w:keepNext w:val="0"/>
              <w:keepLines w:val="0"/>
              <w:pageBreakBefore w:val="0"/>
              <w:widowControl w:val="0"/>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 xml:space="preserve">定期对机械和车辆进行保养维修，保证正常和良好的运转状态，减少尾气污染。 </w:t>
            </w:r>
          </w:p>
          <w:p>
            <w:pPr>
              <w:keepNext w:val="0"/>
              <w:keepLines w:val="0"/>
              <w:pageBreakBefore w:val="0"/>
              <w:widowControl/>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1.4河道清淤、垃圾清除过程产生的恶臭</w:t>
            </w:r>
          </w:p>
          <w:p>
            <w:pPr>
              <w:keepNext w:val="0"/>
              <w:keepLines w:val="0"/>
              <w:pageBreakBefore w:val="0"/>
              <w:widowControl/>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vertAlign w:val="subscript"/>
                <w:lang w:val="en-US" w:eastAsia="zh-CN"/>
              </w:rPr>
            </w:pPr>
            <w:r>
              <w:rPr>
                <w:rFonts w:hint="default" w:ascii="Times New Roman" w:hAnsi="Times New Roman" w:eastAsia="宋体" w:cs="Times New Roman"/>
                <w:color w:val="auto"/>
                <w:sz w:val="24"/>
                <w:szCs w:val="24"/>
                <w:highlight w:val="none"/>
                <w:lang w:val="en-US" w:eastAsia="zh-CN"/>
              </w:rPr>
              <w:t>本项目河道清淤和垃圾清理过程中会扰动河道底泥，原本富集在底泥中的N、P等污染物开始浮动，当气温升高时，淤泥中的有机物迅速分解氮、磷等臭气物质，发酵释放恶臭气味，影响周边环境。除此之外，底泥中含有的其他多种微生物、病原菌也在施工过程中随挥发的气体进入空气中。臭气为无组织方式排放，主要污染物为</w:t>
            </w:r>
            <w:r>
              <w:rPr>
                <w:rFonts w:hint="default" w:ascii="Times New Roman" w:hAnsi="Times New Roman" w:eastAsia="宋体" w:cs="Times New Roman"/>
                <w:color w:val="auto"/>
                <w:sz w:val="24"/>
                <w:szCs w:val="24"/>
                <w:lang w:val="en-US" w:eastAsia="zh-CN"/>
              </w:rPr>
              <w:t>H</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S、NH</w:t>
            </w:r>
            <w:r>
              <w:rPr>
                <w:rFonts w:hint="default" w:ascii="Times New Roman" w:hAnsi="Times New Roman" w:eastAsia="宋体" w:cs="Times New Roman"/>
                <w:color w:val="auto"/>
                <w:sz w:val="24"/>
                <w:szCs w:val="24"/>
                <w:vertAlign w:val="subscript"/>
                <w:lang w:val="en-US" w:eastAsia="zh-CN"/>
              </w:rPr>
              <w:t>3。</w:t>
            </w:r>
          </w:p>
          <w:p>
            <w:pPr>
              <w:keepNext w:val="0"/>
              <w:keepLines w:val="0"/>
              <w:pageBreakBefore w:val="0"/>
              <w:widowControl w:val="0"/>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为避免在疏浚河道时产生的恶臭对周围环境影响较大，施工过程可以采用土壤生物除臭法，单纯的生物法既不需要使用化学试剂，也不需要补充营养物质，树妖的淤泥低质中的N、P等营养元素丰富，河道内的微生物可利用营养元素进行繁殖，从而可以有效的去除恶臭中的H</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S、NH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等臭气物质。</w:t>
            </w:r>
          </w:p>
          <w:p>
            <w:pPr>
              <w:keepNext w:val="0"/>
              <w:keepLines w:val="0"/>
              <w:pageBreakBefore w:val="0"/>
              <w:widowControl w:val="0"/>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清除的淤泥和垃圾在运输过程中仍会散发恶臭，因此，运输车辆需做好密封工作，并选择城区外环路通行，避开运输高峰期，尽量减少恶臭对运输路线附近大气环境的影响。</w:t>
            </w:r>
          </w:p>
          <w:p>
            <w:pPr>
              <w:keepNext w:val="0"/>
              <w:keepLines w:val="0"/>
              <w:pageBreakBefore w:val="0"/>
              <w:widowControl/>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rPr>
              <w:t>施工期</w:t>
            </w:r>
            <w:r>
              <w:rPr>
                <w:rFonts w:hint="default" w:ascii="Times New Roman" w:hAnsi="Times New Roman" w:eastAsia="宋体" w:cs="Times New Roman"/>
                <w:color w:val="auto"/>
                <w:sz w:val="24"/>
                <w:szCs w:val="24"/>
                <w:highlight w:val="none"/>
              </w:rPr>
              <w:t>采取上述</w:t>
            </w:r>
            <w:r>
              <w:rPr>
                <w:rFonts w:hint="default" w:ascii="Times New Roman" w:hAnsi="Times New Roman" w:eastAsia="宋体" w:cs="Times New Roman"/>
                <w:color w:val="auto"/>
                <w:sz w:val="24"/>
                <w:szCs w:val="24"/>
                <w:highlight w:val="none"/>
                <w:lang w:val="en-US" w:eastAsia="zh-CN"/>
              </w:rPr>
              <w:t>各项</w:t>
            </w:r>
            <w:r>
              <w:rPr>
                <w:rFonts w:hint="default" w:ascii="Times New Roman" w:hAnsi="Times New Roman" w:eastAsia="宋体" w:cs="Times New Roman"/>
                <w:color w:val="auto"/>
                <w:sz w:val="24"/>
                <w:szCs w:val="24"/>
                <w:highlight w:val="none"/>
              </w:rPr>
              <w:t>措施后，</w:t>
            </w:r>
            <w:r>
              <w:rPr>
                <w:rFonts w:hint="default" w:ascii="Times New Roman" w:hAnsi="Times New Roman" w:eastAsia="宋体" w:cs="Times New Roman"/>
                <w:color w:val="auto"/>
                <w:sz w:val="24"/>
                <w:szCs w:val="24"/>
                <w:highlight w:val="none"/>
                <w:lang w:eastAsia="zh-CN"/>
              </w:rPr>
              <w:t>颗粒物</w:t>
            </w:r>
            <w:r>
              <w:rPr>
                <w:rFonts w:hint="default" w:ascii="Times New Roman" w:hAnsi="Times New Roman" w:eastAsia="宋体" w:cs="Times New Roman"/>
                <w:color w:val="auto"/>
                <w:sz w:val="24"/>
                <w:szCs w:val="24"/>
                <w:highlight w:val="none"/>
              </w:rPr>
              <w:t>排放浓度满足</w:t>
            </w:r>
            <w:r>
              <w:rPr>
                <w:rFonts w:hint="default" w:ascii="Times New Roman" w:hAnsi="Times New Roman" w:eastAsia="宋体" w:cs="Times New Roman"/>
                <w:color w:val="auto"/>
                <w:kern w:val="0"/>
                <w:sz w:val="24"/>
                <w:szCs w:val="24"/>
                <w:highlight w:val="none"/>
                <w:lang w:bidi="ar"/>
              </w:rPr>
              <w:t>《施工场地扬尘排放标准》</w:t>
            </w:r>
            <w:r>
              <w:rPr>
                <w:rFonts w:hint="default" w:ascii="Times New Roman" w:hAnsi="Times New Roman" w:eastAsia="宋体"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szCs w:val="24"/>
                <w:highlight w:val="none"/>
                <w:lang w:bidi="ar"/>
              </w:rPr>
              <w:t>DB13/2934-2019</w:t>
            </w:r>
            <w:r>
              <w:rPr>
                <w:rFonts w:hint="default" w:ascii="Times New Roman" w:hAnsi="Times New Roman" w:eastAsia="宋体"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szCs w:val="24"/>
                <w:highlight w:val="none"/>
                <w:lang w:bidi="ar"/>
              </w:rPr>
              <w:t>表1扬尘排放浓度限值：监测点PM</w:t>
            </w:r>
            <w:r>
              <w:rPr>
                <w:rFonts w:hint="default" w:ascii="Times New Roman" w:hAnsi="Times New Roman" w:eastAsia="宋体" w:cs="Times New Roman"/>
                <w:color w:val="auto"/>
                <w:kern w:val="0"/>
                <w:sz w:val="24"/>
                <w:szCs w:val="24"/>
                <w:highlight w:val="none"/>
                <w:vertAlign w:val="subscript"/>
                <w:lang w:bidi="ar"/>
              </w:rPr>
              <w:t>10</w:t>
            </w:r>
            <w:r>
              <w:rPr>
                <w:rFonts w:hint="default" w:ascii="Times New Roman" w:hAnsi="Times New Roman" w:eastAsia="宋体" w:cs="Times New Roman"/>
                <w:color w:val="auto"/>
                <w:kern w:val="0"/>
                <w:sz w:val="24"/>
                <w:szCs w:val="24"/>
                <w:highlight w:val="none"/>
                <w:lang w:bidi="ar"/>
              </w:rPr>
              <w:t>小时平均浓度实测值与同时段所属县（市、区）PM</w:t>
            </w:r>
            <w:r>
              <w:rPr>
                <w:rFonts w:hint="default" w:ascii="Times New Roman" w:hAnsi="Times New Roman" w:eastAsia="宋体" w:cs="Times New Roman"/>
                <w:color w:val="auto"/>
                <w:kern w:val="0"/>
                <w:sz w:val="24"/>
                <w:szCs w:val="24"/>
                <w:highlight w:val="none"/>
                <w:vertAlign w:val="subscript"/>
                <w:lang w:bidi="ar"/>
              </w:rPr>
              <w:t>10</w:t>
            </w:r>
            <w:r>
              <w:rPr>
                <w:rFonts w:hint="default" w:ascii="Times New Roman" w:hAnsi="Times New Roman" w:eastAsia="宋体" w:cs="Times New Roman"/>
                <w:color w:val="auto"/>
                <w:kern w:val="0"/>
                <w:sz w:val="24"/>
                <w:szCs w:val="24"/>
                <w:highlight w:val="none"/>
                <w:lang w:bidi="ar"/>
              </w:rPr>
              <w:t>小时平均浓度的差值限值＜80μg/m</w:t>
            </w:r>
            <w:r>
              <w:rPr>
                <w:rFonts w:hint="default" w:ascii="Times New Roman" w:hAnsi="Times New Roman" w:eastAsia="宋体" w:cs="Times New Roman"/>
                <w:color w:val="auto"/>
                <w:kern w:val="0"/>
                <w:sz w:val="24"/>
                <w:szCs w:val="24"/>
                <w:highlight w:val="none"/>
                <w:vertAlign w:val="superscript"/>
                <w:lang w:bidi="ar"/>
              </w:rPr>
              <w:t>3</w:t>
            </w:r>
            <w:r>
              <w:rPr>
                <w:rFonts w:hint="default" w:ascii="Times New Roman" w:hAnsi="Times New Roman" w:eastAsia="宋体" w:cs="Times New Roman"/>
                <w:color w:val="auto"/>
                <w:kern w:val="0"/>
                <w:sz w:val="24"/>
                <w:szCs w:val="24"/>
                <w:highlight w:val="none"/>
                <w:lang w:bidi="ar"/>
              </w:rPr>
              <w:t>。</w:t>
            </w:r>
          </w:p>
          <w:p>
            <w:pPr>
              <w:keepNext w:val="0"/>
              <w:keepLines w:val="0"/>
              <w:pageBreakBefore w:val="0"/>
              <w:widowControl w:val="0"/>
              <w:kinsoku/>
              <w:wordWrap/>
              <w:overflowPunct/>
              <w:topLinePunct w:val="0"/>
              <w:autoSpaceDE/>
              <w:autoSpaceDN/>
              <w:bidi w:val="0"/>
              <w:adjustRightInd/>
              <w:snapToGrid/>
              <w:spacing w:after="0" w:line="500" w:lineRule="exact"/>
              <w:ind w:left="0" w:leftChars="0" w:firstLine="482" w:firstLineChars="200"/>
              <w:jc w:val="left"/>
              <w:textAlignment w:val="auto"/>
              <w:rPr>
                <w:rFonts w:hint="default" w:ascii="Times New Roman" w:hAnsi="Times New Roman" w:eastAsia="宋体" w:cs="Times New Roman"/>
                <w:b/>
                <w:bCs/>
                <w:color w:val="auto"/>
                <w:sz w:val="24"/>
                <w:szCs w:val="24"/>
                <w:lang w:val="zh-CN"/>
              </w:rPr>
            </w:pPr>
            <w:r>
              <w:rPr>
                <w:rFonts w:hint="default" w:ascii="Times New Roman" w:hAnsi="Times New Roman" w:eastAsia="宋体" w:cs="Times New Roman"/>
                <w:b/>
                <w:bCs/>
                <w:color w:val="auto"/>
                <w:sz w:val="24"/>
                <w:szCs w:val="24"/>
                <w:lang w:val="zh-CN"/>
              </w:rPr>
              <w:t>2、施工期废水</w:t>
            </w:r>
          </w:p>
          <w:p>
            <w:pPr>
              <w:pageBreakBefore w:val="0"/>
              <w:widowControl w:val="0"/>
              <w:kinsoku/>
              <w:wordWrap/>
              <w:overflowPunct/>
              <w:topLinePunct w:val="0"/>
              <w:bidi w:val="0"/>
              <w:adjustRightInd w:val="0"/>
              <w:snapToGrid w:val="0"/>
              <w:spacing w:after="0" w:line="500" w:lineRule="exact"/>
              <w:ind w:lef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2.1地表水</w:t>
            </w:r>
          </w:p>
          <w:p>
            <w:pPr>
              <w:keepNext w:val="0"/>
              <w:keepLines w:val="0"/>
              <w:pageBreakBefore w:val="0"/>
              <w:widowControl w:val="0"/>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施工期废水来源主要为施工设备、运输车辆冲洗、管网试压废水及生活污水。这部分废水排放量较小，含有的主要污染物质为泥沙，不含有害物质及其他有机物。施工废水中主要水质污染指标为SS，根据同类项目做类比分析，不经处理的废水中SS浓度最高可达10000mg/L。此部分废水水质单一，采用沉淀池处理后重复使用，不会对项目周边地表水体造成影响。</w:t>
            </w:r>
          </w:p>
          <w:p>
            <w:pPr>
              <w:pStyle w:val="20"/>
              <w:keepNext w:val="0"/>
              <w:keepLines w:val="0"/>
              <w:pageBreakBefore w:val="0"/>
              <w:widowControl w:val="0"/>
              <w:kinsoku/>
              <w:wordWrap/>
              <w:overflowPunct/>
              <w:topLinePunct w:val="0"/>
              <w:bidi w:val="0"/>
              <w:spacing w:line="500" w:lineRule="exact"/>
              <w:ind w:lef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在河道施工段下游50米外设置三级沉淀池，使搅动河水经沉淀后澄清水排入下游河道。</w:t>
            </w:r>
          </w:p>
          <w:p>
            <w:pPr>
              <w:keepNext w:val="0"/>
              <w:keepLines w:val="0"/>
              <w:pageBreakBefore w:val="0"/>
              <w:widowControl w:val="0"/>
              <w:kinsoku/>
              <w:wordWrap/>
              <w:overflowPunct/>
              <w:topLinePunct w:val="0"/>
              <w:bidi w:val="0"/>
              <w:adjustRightInd w:val="0"/>
              <w:snapToGrid w:val="0"/>
              <w:spacing w:after="0" w:line="500" w:lineRule="exact"/>
              <w:ind w:lef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施工时由于人员相对集中，会产生一定数量的生活污水，项目施工高峰期施工人员达到</w:t>
            </w:r>
            <w:r>
              <w:rPr>
                <w:rFonts w:hint="default" w:ascii="Times New Roman" w:hAnsi="Times New Roman" w:eastAsia="宋体" w:cs="Times New Roman"/>
                <w:color w:val="auto"/>
                <w:sz w:val="24"/>
                <w:szCs w:val="24"/>
                <w:lang w:val="en-US" w:eastAsia="zh-CN"/>
              </w:rPr>
              <w:t>40</w:t>
            </w:r>
            <w:r>
              <w:rPr>
                <w:rFonts w:hint="default" w:ascii="Times New Roman" w:hAnsi="Times New Roman" w:eastAsia="宋体" w:cs="Times New Roman"/>
                <w:color w:val="auto"/>
                <w:sz w:val="24"/>
                <w:szCs w:val="24"/>
              </w:rPr>
              <w:t>人，</w:t>
            </w:r>
            <w:r>
              <w:rPr>
                <w:rFonts w:hint="default" w:ascii="Times New Roman" w:hAnsi="Times New Roman" w:eastAsia="宋体" w:cs="Times New Roman"/>
                <w:color w:val="auto"/>
                <w:sz w:val="24"/>
                <w:szCs w:val="24"/>
                <w:lang w:val="en-US" w:eastAsia="zh-CN"/>
              </w:rPr>
              <w:t>处理方式：借助周边居民厕所，废水厂区泼洒抑尘使用，不外排。</w:t>
            </w:r>
          </w:p>
          <w:p>
            <w:pPr>
              <w:keepNext w:val="0"/>
              <w:keepLines w:val="0"/>
              <w:pageBreakBefore w:val="0"/>
              <w:widowControl w:val="0"/>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河道整治清淤过程中，因把河流沉积物表层的底泥清除，将破坏已经形成的水生生态系统，底栖生物，特别是可以降解有机物的微生物将会随底泥一并被清除。河道清淤作业将引起水体悬浮物浓度的增加，使水体的浑浊度变大，透光率降低，对下游水生动植物将产生一定的影响。</w:t>
            </w:r>
            <w:r>
              <w:rPr>
                <w:rFonts w:hint="default" w:ascii="Times New Roman" w:hAnsi="Times New Roman" w:eastAsia="宋体" w:cs="Times New Roman"/>
                <w:color w:val="auto"/>
                <w:sz w:val="24"/>
                <w:szCs w:val="24"/>
                <w:lang w:eastAsia="zh-CN"/>
              </w:rPr>
              <w:t>随着施工期结束水体重新得到恢复和改善。因此</w:t>
            </w:r>
            <w:r>
              <w:rPr>
                <w:rFonts w:hint="default" w:ascii="Times New Roman" w:hAnsi="Times New Roman" w:eastAsia="宋体" w:cs="Times New Roman"/>
                <w:color w:val="auto"/>
                <w:sz w:val="24"/>
                <w:szCs w:val="24"/>
              </w:rPr>
              <w:t>对周围地表水环境</w:t>
            </w:r>
            <w:r>
              <w:rPr>
                <w:rFonts w:hint="default" w:ascii="Times New Roman" w:hAnsi="Times New Roman" w:eastAsia="宋体" w:cs="Times New Roman"/>
                <w:color w:val="auto"/>
                <w:sz w:val="24"/>
                <w:szCs w:val="24"/>
                <w:lang w:val="en-US" w:eastAsia="zh-CN"/>
              </w:rPr>
              <w:t>影响较小</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N/>
              <w:bidi w:val="0"/>
              <w:adjustRightInd w:val="0"/>
              <w:snapToGrid w:val="0"/>
              <w:spacing w:after="0" w:line="500" w:lineRule="exact"/>
              <w:ind w:left="0" w:righ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管网试压水质简单，直接泼洒抑尘。</w:t>
            </w:r>
          </w:p>
          <w:p>
            <w:pPr>
              <w:pStyle w:val="3"/>
              <w:keepNext/>
              <w:keepLines/>
              <w:pageBreakBefore w:val="0"/>
              <w:widowControl w:val="0"/>
              <w:kinsoku/>
              <w:wordWrap/>
              <w:overflowPunct/>
              <w:topLinePunct w:val="0"/>
              <w:autoSpaceDE/>
              <w:autoSpaceDN/>
              <w:bidi w:val="0"/>
              <w:adjustRightInd/>
              <w:snapToGrid/>
              <w:spacing w:before="0" w:after="0" w:afterLines="0" w:line="500" w:lineRule="exact"/>
              <w:ind w:left="0" w:firstLine="480" w:firstLineChars="200"/>
              <w:jc w:val="left"/>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color w:val="auto"/>
                <w:sz w:val="24"/>
                <w:szCs w:val="24"/>
                <w:highlight w:val="none"/>
                <w:lang w:val="en-US" w:eastAsia="zh-CN"/>
              </w:rPr>
              <w:t>车辆清洗废水</w:t>
            </w:r>
            <w:r>
              <w:rPr>
                <w:rFonts w:hint="default" w:ascii="Times New Roman" w:hAnsi="Times New Roman" w:eastAsia="宋体" w:cs="Times New Roman"/>
                <w:b w:val="0"/>
                <w:bCs w:val="0"/>
                <w:color w:val="auto"/>
                <w:kern w:val="24"/>
                <w:sz w:val="24"/>
                <w:szCs w:val="24"/>
                <w:highlight w:val="none"/>
                <w:lang w:val="en-US" w:eastAsia="zh-CN"/>
              </w:rPr>
              <w:t>0.7</w:t>
            </w:r>
            <w:r>
              <w:rPr>
                <w:rFonts w:hint="default" w:ascii="Times New Roman" w:hAnsi="Times New Roman" w:eastAsia="宋体" w:cs="Times New Roman"/>
                <w:b w:val="0"/>
                <w:bCs w:val="0"/>
                <w:color w:val="auto"/>
                <w:sz w:val="24"/>
                <w:szCs w:val="24"/>
                <w:highlight w:val="none"/>
                <w:lang w:eastAsia="zh-CN"/>
              </w:rPr>
              <w:t>m</w:t>
            </w:r>
            <w:r>
              <w:rPr>
                <w:rFonts w:hint="default" w:ascii="Times New Roman" w:hAnsi="Times New Roman" w:eastAsia="宋体" w:cs="Times New Roman"/>
                <w:b w:val="0"/>
                <w:bCs w:val="0"/>
                <w:color w:val="auto"/>
                <w:sz w:val="24"/>
                <w:szCs w:val="24"/>
                <w:highlight w:val="none"/>
                <w:vertAlign w:val="superscript"/>
                <w:lang w:eastAsia="zh-CN"/>
              </w:rPr>
              <w:t>3</w:t>
            </w:r>
            <w:r>
              <w:rPr>
                <w:rFonts w:hint="default" w:ascii="Times New Roman" w:hAnsi="Times New Roman" w:eastAsia="宋体" w:cs="Times New Roman"/>
                <w:b w:val="0"/>
                <w:bCs w:val="0"/>
                <w:color w:val="auto"/>
                <w:kern w:val="24"/>
                <w:sz w:val="24"/>
                <w:szCs w:val="24"/>
                <w:highlight w:val="none"/>
              </w:rPr>
              <w:t>/d</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126</w:t>
            </w:r>
            <w:r>
              <w:rPr>
                <w:rFonts w:hint="default" w:ascii="Times New Roman" w:hAnsi="Times New Roman" w:eastAsia="宋体" w:cs="Times New Roman"/>
                <w:b w:val="0"/>
                <w:bCs w:val="0"/>
                <w:color w:val="auto"/>
                <w:sz w:val="24"/>
                <w:szCs w:val="24"/>
                <w:highlight w:val="none"/>
                <w:lang w:eastAsia="zh-CN"/>
              </w:rPr>
              <w:t>m</w:t>
            </w:r>
            <w:r>
              <w:rPr>
                <w:rFonts w:hint="default" w:ascii="Times New Roman" w:hAnsi="Times New Roman" w:eastAsia="宋体" w:cs="Times New Roman"/>
                <w:b w:val="0"/>
                <w:bCs w:val="0"/>
                <w:color w:val="auto"/>
                <w:sz w:val="24"/>
                <w:szCs w:val="24"/>
                <w:highlight w:val="none"/>
                <w:vertAlign w:val="superscript"/>
                <w:lang w:eastAsia="zh-CN"/>
              </w:rPr>
              <w:t>3</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eastAsia="zh-CN"/>
              </w:rPr>
              <w:t>工期）</w:t>
            </w:r>
            <w:r>
              <w:rPr>
                <w:rFonts w:hint="default" w:ascii="Times New Roman" w:hAnsi="Times New Roman" w:eastAsia="宋体" w:cs="Times New Roman"/>
                <w:b w:val="0"/>
                <w:bCs w:val="0"/>
                <w:color w:val="auto"/>
                <w:sz w:val="24"/>
                <w:szCs w:val="24"/>
                <w:highlight w:val="none"/>
                <w:lang w:val="en-US" w:eastAsia="zh-CN"/>
              </w:rPr>
              <w:t>排入沉淀池，沉淀后回用。</w:t>
            </w:r>
          </w:p>
          <w:p>
            <w:pPr>
              <w:keepNext w:val="0"/>
              <w:keepLines w:val="0"/>
              <w:pageBreakBefore w:val="0"/>
              <w:widowControl w:val="0"/>
              <w:kinsoku/>
              <w:wordWrap/>
              <w:overflowPunct/>
              <w:topLinePunct w:val="0"/>
              <w:autoSpaceDN/>
              <w:bidi w:val="0"/>
              <w:adjustRightInd w:val="0"/>
              <w:snapToGrid w:val="0"/>
              <w:spacing w:after="0" w:line="500" w:lineRule="exact"/>
              <w:ind w:left="0" w:right="0" w:firstLine="480"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rPr>
              <w:t>施工期</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个月</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施工</w:t>
            </w:r>
            <w:r>
              <w:rPr>
                <w:rFonts w:hint="default" w:ascii="Times New Roman" w:hAnsi="Times New Roman" w:eastAsia="宋体" w:cs="Times New Roman"/>
                <w:color w:val="auto"/>
                <w:sz w:val="24"/>
                <w:szCs w:val="24"/>
              </w:rPr>
              <w:t>人员</w:t>
            </w:r>
            <w:r>
              <w:rPr>
                <w:rFonts w:hint="default" w:ascii="Times New Roman" w:hAnsi="Times New Roman" w:eastAsia="宋体" w:cs="Times New Roman"/>
                <w:color w:val="auto"/>
                <w:sz w:val="24"/>
                <w:szCs w:val="24"/>
                <w:lang w:eastAsia="zh-CN"/>
              </w:rPr>
              <w:t>为</w:t>
            </w:r>
            <w:r>
              <w:rPr>
                <w:rFonts w:hint="default" w:ascii="Times New Roman" w:hAnsi="Times New Roman" w:eastAsia="宋体" w:cs="Times New Roman"/>
                <w:color w:val="auto"/>
                <w:sz w:val="24"/>
                <w:szCs w:val="24"/>
                <w:lang w:val="en-US" w:eastAsia="zh-CN"/>
              </w:rPr>
              <w:t>40人，每人每天</w:t>
            </w:r>
            <w:r>
              <w:rPr>
                <w:rFonts w:hint="default" w:ascii="Times New Roman" w:hAnsi="Times New Roman" w:eastAsia="宋体" w:cs="Times New Roman"/>
                <w:color w:val="auto"/>
                <w:sz w:val="24"/>
                <w:szCs w:val="24"/>
              </w:rPr>
              <w:t>生活</w:t>
            </w:r>
            <w:r>
              <w:rPr>
                <w:rFonts w:hint="default" w:ascii="Times New Roman" w:hAnsi="Times New Roman" w:eastAsia="宋体" w:cs="Times New Roman"/>
                <w:color w:val="auto"/>
                <w:sz w:val="24"/>
                <w:szCs w:val="24"/>
                <w:lang w:val="en-US" w:eastAsia="zh-CN"/>
              </w:rPr>
              <w:t>用</w:t>
            </w:r>
            <w:r>
              <w:rPr>
                <w:rFonts w:hint="default" w:ascii="Times New Roman" w:hAnsi="Times New Roman" w:eastAsia="宋体" w:cs="Times New Roman"/>
                <w:color w:val="auto"/>
                <w:sz w:val="24"/>
                <w:szCs w:val="24"/>
              </w:rPr>
              <w:t>水产生量为</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0L，</w:t>
            </w:r>
            <w:r>
              <w:rPr>
                <w:rFonts w:hint="default" w:ascii="Times New Roman" w:hAnsi="Times New Roman" w:eastAsia="宋体" w:cs="Times New Roman"/>
                <w:color w:val="auto"/>
                <w:sz w:val="24"/>
                <w:szCs w:val="24"/>
                <w:lang w:val="en-US" w:eastAsia="zh-CN"/>
              </w:rPr>
              <w:t>则用水</w:t>
            </w:r>
            <w:r>
              <w:rPr>
                <w:rFonts w:hint="default" w:ascii="Times New Roman" w:hAnsi="Times New Roman" w:eastAsia="宋体" w:cs="Times New Roman"/>
                <w:color w:val="auto"/>
                <w:sz w:val="24"/>
                <w:szCs w:val="24"/>
              </w:rPr>
              <w:t>总量为</w:t>
            </w:r>
            <w:r>
              <w:rPr>
                <w:rFonts w:hint="default" w:ascii="Times New Roman" w:hAnsi="Times New Roman" w:eastAsia="宋体" w:cs="Times New Roman"/>
                <w:color w:val="auto"/>
                <w:sz w:val="24"/>
                <w:szCs w:val="24"/>
                <w:lang w:val="en-US" w:eastAsia="zh-CN"/>
              </w:rPr>
              <w:t>0.8m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val="en-US" w:eastAsia="zh-CN"/>
              </w:rPr>
              <w:t>144m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highlight w:val="none"/>
                <w:lang w:eastAsia="zh-CN"/>
              </w:rPr>
              <w:t>工期</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。生活污水</w:t>
            </w:r>
            <w:r>
              <w:rPr>
                <w:rFonts w:hint="default" w:ascii="Times New Roman" w:hAnsi="Times New Roman" w:eastAsia="宋体" w:cs="Times New Roman"/>
                <w:color w:val="auto"/>
                <w:sz w:val="24"/>
                <w:szCs w:val="24"/>
              </w:rPr>
              <w:t>安排放系数0.8计，</w:t>
            </w:r>
            <w:r>
              <w:rPr>
                <w:rFonts w:hint="default" w:ascii="Times New Roman" w:hAnsi="Times New Roman" w:eastAsia="宋体" w:cs="Times New Roman"/>
                <w:color w:val="auto"/>
                <w:sz w:val="24"/>
                <w:szCs w:val="24"/>
                <w:lang w:val="en-US" w:eastAsia="zh-CN"/>
              </w:rPr>
              <w:t>则</w:t>
            </w:r>
            <w:r>
              <w:rPr>
                <w:rFonts w:hint="default" w:ascii="Times New Roman" w:hAnsi="Times New Roman" w:eastAsia="宋体" w:cs="Times New Roman"/>
                <w:color w:val="auto"/>
                <w:sz w:val="24"/>
                <w:szCs w:val="24"/>
              </w:rPr>
              <w:t>排放量为</w:t>
            </w:r>
            <w:r>
              <w:rPr>
                <w:rFonts w:hint="default" w:ascii="Times New Roman" w:hAnsi="Times New Roman" w:eastAsia="宋体" w:cs="Times New Roman"/>
                <w:color w:val="auto"/>
                <w:sz w:val="24"/>
                <w:szCs w:val="24"/>
                <w:lang w:val="en-US" w:eastAsia="zh-CN"/>
              </w:rPr>
              <w:t>0.64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kern w:val="24"/>
                <w:sz w:val="24"/>
                <w:szCs w:val="24"/>
                <w:highlight w:val="none"/>
              </w:rPr>
              <w:t>/d</w:t>
            </w:r>
            <w:r>
              <w:rPr>
                <w:rFonts w:hint="default" w:ascii="Times New Roman" w:hAnsi="Times New Roman" w:eastAsia="宋体" w:cs="Times New Roman"/>
                <w:color w:val="auto"/>
                <w:kern w:val="24"/>
                <w:sz w:val="24"/>
                <w:szCs w:val="24"/>
                <w:highlight w:val="none"/>
                <w:lang w:eastAsia="zh-CN"/>
              </w:rPr>
              <w:t>（</w:t>
            </w:r>
            <w:r>
              <w:rPr>
                <w:rFonts w:hint="default" w:ascii="Times New Roman" w:hAnsi="Times New Roman" w:eastAsia="宋体" w:cs="Times New Roman"/>
                <w:color w:val="auto"/>
                <w:kern w:val="24"/>
                <w:sz w:val="24"/>
                <w:szCs w:val="24"/>
                <w:highlight w:val="none"/>
                <w:lang w:val="en-US" w:eastAsia="zh-CN"/>
              </w:rPr>
              <w:t>115.2</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kern w:val="24"/>
                <w:sz w:val="24"/>
                <w:szCs w:val="24"/>
                <w:highlight w:val="none"/>
              </w:rPr>
              <w:t>/</w:t>
            </w:r>
            <w:r>
              <w:rPr>
                <w:rFonts w:hint="default" w:ascii="Times New Roman" w:hAnsi="Times New Roman" w:eastAsia="宋体" w:cs="Times New Roman"/>
                <w:color w:val="auto"/>
                <w:sz w:val="24"/>
                <w:szCs w:val="24"/>
                <w:highlight w:val="none"/>
                <w:lang w:eastAsia="zh-CN"/>
              </w:rPr>
              <w:t>工期</w:t>
            </w:r>
            <w:r>
              <w:rPr>
                <w:rFonts w:hint="default" w:ascii="Times New Roman" w:hAnsi="Times New Roman" w:eastAsia="宋体" w:cs="Times New Roman"/>
                <w:color w:val="auto"/>
                <w:kern w:val="24"/>
                <w:sz w:val="24"/>
                <w:szCs w:val="24"/>
                <w:highlight w:val="none"/>
                <w:lang w:eastAsia="zh-CN"/>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主要污染物为</w:t>
            </w:r>
            <w:r>
              <w:rPr>
                <w:rFonts w:hint="default" w:ascii="Times New Roman" w:hAnsi="Times New Roman" w:eastAsia="宋体" w:cs="Times New Roman"/>
                <w:color w:val="auto"/>
                <w:sz w:val="24"/>
                <w:szCs w:val="24"/>
                <w:lang w:val="en-US" w:eastAsia="zh-CN"/>
              </w:rPr>
              <w:t>pH值、</w:t>
            </w:r>
            <w:r>
              <w:rPr>
                <w:rFonts w:hint="default" w:ascii="Times New Roman" w:hAnsi="Times New Roman" w:eastAsia="宋体" w:cs="Times New Roman"/>
                <w:color w:val="auto"/>
                <w:sz w:val="24"/>
                <w:szCs w:val="24"/>
              </w:rPr>
              <w:t>COD、SS、</w:t>
            </w:r>
            <w:r>
              <w:rPr>
                <w:rFonts w:hint="default" w:ascii="Times New Roman" w:hAnsi="Times New Roman" w:eastAsia="宋体" w:cs="Times New Roman"/>
                <w:color w:val="auto"/>
                <w:sz w:val="24"/>
                <w:szCs w:val="24"/>
                <w:lang w:val="en-US" w:eastAsia="zh-CN"/>
              </w:rPr>
              <w:t>BOD</w:t>
            </w:r>
            <w:r>
              <w:rPr>
                <w:rFonts w:hint="default" w:ascii="Times New Roman" w:hAnsi="Times New Roman" w:eastAsia="宋体" w:cs="Times New Roman"/>
                <w:color w:val="auto"/>
                <w:sz w:val="24"/>
                <w:szCs w:val="24"/>
                <w:vertAlign w:val="subscript"/>
                <w:lang w:val="en-US" w:eastAsia="zh-CN"/>
              </w:rPr>
              <w:t>5</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w:t>
            </w:r>
            <w:r>
              <w:rPr>
                <w:rFonts w:hint="default" w:ascii="Times New Roman" w:hAnsi="Times New Roman" w:eastAsia="宋体" w:cs="Times New Roman"/>
                <w:color w:val="auto"/>
                <w:sz w:val="24"/>
                <w:szCs w:val="24"/>
                <w:lang w:eastAsia="zh-CN"/>
              </w:rPr>
              <w:t>。</w:t>
            </w:r>
          </w:p>
          <w:p>
            <w:pPr>
              <w:pStyle w:val="20"/>
              <w:keepNext w:val="0"/>
              <w:keepLines w:val="0"/>
              <w:pageBreakBefore w:val="0"/>
              <w:widowControl w:val="0"/>
              <w:numPr>
                <w:ilvl w:val="0"/>
                <w:numId w:val="0"/>
              </w:numPr>
              <w:kinsoku/>
              <w:wordWrap/>
              <w:overflowPunct/>
              <w:topLinePunct w:val="0"/>
              <w:bidi w:val="0"/>
              <w:spacing w:line="500" w:lineRule="exact"/>
              <w:ind w:lef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2.2地下水</w:t>
            </w:r>
          </w:p>
          <w:p>
            <w:pPr>
              <w:keepNext w:val="0"/>
              <w:keepLines w:val="0"/>
              <w:pageBreakBefore w:val="0"/>
              <w:widowControl w:val="0"/>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根据《环境影响评价技术导则 地下水环境》（HJ610-2016）中附录A可知，本项目为</w:t>
            </w:r>
            <w:r>
              <w:rPr>
                <w:rFonts w:hint="default" w:ascii="Times New Roman" w:hAnsi="Times New Roman" w:eastAsia="宋体" w:cs="Times New Roman"/>
                <w:color w:val="auto"/>
                <w:sz w:val="24"/>
                <w:szCs w:val="24"/>
                <w:lang w:val="en-US" w:eastAsia="zh-CN"/>
              </w:rPr>
              <w:t>新</w:t>
            </w:r>
            <w:r>
              <w:rPr>
                <w:rFonts w:hint="default" w:ascii="Times New Roman" w:hAnsi="Times New Roman" w:eastAsia="宋体" w:cs="Times New Roman"/>
                <w:color w:val="auto"/>
                <w:sz w:val="24"/>
                <w:szCs w:val="24"/>
              </w:rPr>
              <w:t>建项目，属于</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水利</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5、河湖整治工程</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其他</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类，因此地下水评价等级为</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Ⅳ</w:t>
            </w:r>
            <w:r>
              <w:rPr>
                <w:rFonts w:hint="default" w:ascii="Times New Roman" w:hAnsi="Times New Roman" w:eastAsia="宋体" w:cs="Times New Roman"/>
                <w:color w:val="auto"/>
                <w:sz w:val="24"/>
                <w:szCs w:val="24"/>
                <w:lang w:val="en-US" w:eastAsia="zh-CN"/>
              </w:rPr>
              <w:t>类</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，本次不进行地下水环境影响预测和分析。</w:t>
            </w:r>
          </w:p>
          <w:p>
            <w:pPr>
              <w:keepNext w:val="0"/>
              <w:keepLines w:val="0"/>
              <w:pageBreakBefore w:val="0"/>
              <w:widowControl w:val="0"/>
              <w:kinsoku/>
              <w:wordWrap/>
              <w:overflowPunct/>
              <w:topLinePunct w:val="0"/>
              <w:autoSpaceDE/>
              <w:autoSpaceDN/>
              <w:bidi w:val="0"/>
              <w:adjustRightInd/>
              <w:snapToGrid/>
              <w:spacing w:after="0" w:line="500" w:lineRule="exact"/>
              <w:ind w:left="0" w:firstLine="482" w:firstLineChars="200"/>
              <w:jc w:val="left"/>
              <w:textAlignment w:val="auto"/>
              <w:rPr>
                <w:rFonts w:hint="default" w:ascii="Times New Roman" w:hAnsi="Times New Roman" w:eastAsia="宋体" w:cs="Times New Roman"/>
                <w:b/>
                <w:bCs/>
                <w:color w:val="auto"/>
                <w:sz w:val="24"/>
                <w:szCs w:val="24"/>
                <w:lang w:val="zh-CN"/>
              </w:rPr>
            </w:pPr>
            <w:r>
              <w:rPr>
                <w:rFonts w:hint="default" w:ascii="Times New Roman" w:hAnsi="Times New Roman" w:eastAsia="宋体" w:cs="Times New Roman"/>
                <w:b/>
                <w:bCs/>
                <w:color w:val="auto"/>
                <w:sz w:val="24"/>
                <w:szCs w:val="24"/>
                <w:lang w:val="zh-CN"/>
              </w:rPr>
              <w:t>3、施工期噪声</w:t>
            </w:r>
          </w:p>
          <w:p>
            <w:pPr>
              <w:keepNext w:val="0"/>
              <w:keepLines w:val="0"/>
              <w:pageBreakBefore w:val="0"/>
              <w:widowControl w:val="0"/>
              <w:tabs>
                <w:tab w:val="left" w:pos="-180"/>
                <w:tab w:val="left" w:pos="1020"/>
              </w:tabs>
              <w:kinsoku/>
              <w:wordWrap/>
              <w:overflowPunct/>
              <w:topLinePunct w:val="0"/>
              <w:bidi w:val="0"/>
              <w:adjustRightInd w:val="0"/>
              <w:snapToGrid w:val="0"/>
              <w:spacing w:after="0" w:line="500" w:lineRule="exact"/>
              <w:ind w:lef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项目施工期产生的噪声包括设备噪声和运输噪声，主要影响周围的鸟类、动物和自然环境等，源强一般在</w:t>
            </w:r>
            <w:r>
              <w:rPr>
                <w:rFonts w:hint="default" w:ascii="Times New Roman" w:hAnsi="Times New Roman" w:eastAsia="宋体" w:cs="Times New Roman"/>
                <w:color w:val="auto"/>
                <w:sz w:val="24"/>
                <w:szCs w:val="24"/>
                <w:lang w:val="en-US" w:eastAsia="zh-CN"/>
              </w:rPr>
              <w:t>90-105</w:t>
            </w:r>
            <w:r>
              <w:rPr>
                <w:rFonts w:hint="default" w:ascii="Times New Roman" w:hAnsi="Times New Roman" w:eastAsia="宋体" w:cs="Times New Roman"/>
                <w:color w:val="auto"/>
                <w:sz w:val="24"/>
                <w:szCs w:val="24"/>
              </w:rPr>
              <w:t>dB（A）</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bidi w:val="0"/>
              <w:adjustRightInd w:val="0"/>
              <w:snapToGrid w:val="0"/>
              <w:spacing w:after="0" w:line="500" w:lineRule="exact"/>
              <w:ind w:lef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土石方、基础施工期时进行的挖掘等施工机械具有声级大、声源强、非连续性等特点</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运输车辆的交通噪声具有声源面广、流动性强等特点。由于施工现场内设备的位置会不断变化，而且同一施工阶段不同时间设备运行的数量也有变化，因此很难准确地预测施工现场的场界噪声值。</w:t>
            </w:r>
            <w:r>
              <w:rPr>
                <w:rFonts w:hint="default" w:ascii="Times New Roman" w:hAnsi="Times New Roman" w:eastAsia="宋体" w:cs="Times New Roman"/>
                <w:color w:val="auto"/>
                <w:sz w:val="24"/>
                <w:szCs w:val="24"/>
                <w:lang w:val="en-US" w:eastAsia="zh-CN"/>
              </w:rPr>
              <w:t>因此要求施工期采取以下措施控制噪声污染：</w:t>
            </w:r>
          </w:p>
          <w:p>
            <w:pPr>
              <w:keepNext w:val="0"/>
              <w:keepLines w:val="0"/>
              <w:pageBreakBefore w:val="0"/>
              <w:widowControl w:val="0"/>
              <w:numPr>
                <w:ilvl w:val="0"/>
                <w:numId w:val="6"/>
              </w:numPr>
              <w:kinsoku/>
              <w:wordWrap/>
              <w:overflowPunct/>
              <w:topLinePunct w:val="0"/>
              <w:bidi w:val="0"/>
              <w:adjustRightInd w:val="0"/>
              <w:snapToGrid w:val="0"/>
              <w:spacing w:after="0" w:line="500" w:lineRule="exact"/>
              <w:ind w:lef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合理安排施工时间，应避免大量高噪声设备同时施工。除此之外，使用高噪声设备的施工阶段应安排在白天，夜间禁止施工，必须有县级以上人民政府或者其有关主管部门的证明。</w:t>
            </w:r>
          </w:p>
          <w:p>
            <w:pPr>
              <w:keepNext w:val="0"/>
              <w:keepLines w:val="0"/>
              <w:pageBreakBefore w:val="0"/>
              <w:widowControl w:val="0"/>
              <w:numPr>
                <w:ilvl w:val="0"/>
                <w:numId w:val="6"/>
              </w:numPr>
              <w:kinsoku/>
              <w:wordWrap/>
              <w:overflowPunct/>
              <w:topLinePunct w:val="0"/>
              <w:bidi w:val="0"/>
              <w:adjustRightInd w:val="0"/>
              <w:snapToGrid w:val="0"/>
              <w:spacing w:after="0" w:line="500" w:lineRule="exact"/>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施工设备选型时采用低噪声设备；采用商品混凝土，避免混凝土搅拌机等设备噪声的影响。</w:t>
            </w:r>
          </w:p>
          <w:p>
            <w:pPr>
              <w:keepNext w:val="0"/>
              <w:keepLines w:val="0"/>
              <w:pageBreakBefore w:val="0"/>
              <w:widowControl w:val="0"/>
              <w:numPr>
                <w:ilvl w:val="0"/>
                <w:numId w:val="6"/>
              </w:numPr>
              <w:kinsoku/>
              <w:wordWrap/>
              <w:overflowPunct/>
              <w:topLinePunct w:val="0"/>
              <w:bidi w:val="0"/>
              <w:adjustRightInd w:val="0"/>
              <w:snapToGrid w:val="0"/>
              <w:spacing w:after="0" w:line="500" w:lineRule="exact"/>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对动力机械设备定期进行维修和养护，避免因松动部件振动或消声器损坏而加大设备工作时的声级。</w:t>
            </w:r>
          </w:p>
          <w:p>
            <w:pPr>
              <w:keepNext w:val="0"/>
              <w:keepLines w:val="0"/>
              <w:pageBreakBefore w:val="0"/>
              <w:widowControl w:val="0"/>
              <w:numPr>
                <w:ilvl w:val="0"/>
                <w:numId w:val="6"/>
              </w:numPr>
              <w:kinsoku/>
              <w:wordWrap/>
              <w:overflowPunct/>
              <w:topLinePunct w:val="0"/>
              <w:bidi w:val="0"/>
              <w:adjustRightInd w:val="0"/>
              <w:snapToGrid w:val="0"/>
              <w:spacing w:after="0" w:line="500" w:lineRule="exact"/>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减少运输车辆夜间的运输量，运输车辆在进入施工区附近区域后，要适当降低车速，避免或杜绝鸣笛。</w:t>
            </w:r>
          </w:p>
          <w:p>
            <w:pPr>
              <w:keepNext w:val="0"/>
              <w:keepLines w:val="0"/>
              <w:pageBreakBefore w:val="0"/>
              <w:widowControl w:val="0"/>
              <w:numPr>
                <w:ilvl w:val="0"/>
                <w:numId w:val="6"/>
              </w:numPr>
              <w:kinsoku/>
              <w:wordWrap/>
              <w:overflowPunct/>
              <w:topLinePunct w:val="0"/>
              <w:bidi w:val="0"/>
              <w:adjustRightInd w:val="0"/>
              <w:snapToGrid w:val="0"/>
              <w:spacing w:after="0" w:line="500" w:lineRule="exact"/>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施工单位应当制定施工现场噪声污染防治管理制度并公告，把产生噪声的设备、设施布置在远离居住区的一侧。在临近敏感点的施工</w:t>
            </w:r>
            <w:r>
              <w:rPr>
                <w:rFonts w:hint="default" w:ascii="Times New Roman" w:hAnsi="Times New Roman" w:eastAsia="宋体" w:cs="Times New Roman"/>
                <w:color w:val="auto"/>
                <w:sz w:val="24"/>
                <w:szCs w:val="24"/>
                <w:lang w:val="en-US" w:eastAsia="zh-CN"/>
              </w:rPr>
              <w:t>场</w:t>
            </w:r>
            <w:r>
              <w:rPr>
                <w:rFonts w:hint="default" w:ascii="Times New Roman" w:hAnsi="Times New Roman" w:eastAsia="宋体" w:cs="Times New Roman"/>
                <w:color w:val="auto"/>
                <w:sz w:val="24"/>
                <w:szCs w:val="24"/>
              </w:rPr>
              <w:t>地一侧设置临时声</w:t>
            </w:r>
            <w:r>
              <w:rPr>
                <w:rFonts w:hint="default" w:ascii="Times New Roman" w:hAnsi="Times New Roman" w:eastAsia="宋体" w:cs="Times New Roman"/>
                <w:color w:val="auto"/>
                <w:sz w:val="24"/>
                <w:szCs w:val="24"/>
                <w:lang w:eastAsia="zh-CN"/>
              </w:rPr>
              <w:t>围挡</w:t>
            </w:r>
            <w:r>
              <w:rPr>
                <w:rFonts w:hint="default" w:ascii="Times New Roman" w:hAnsi="Times New Roman" w:eastAsia="宋体" w:cs="Times New Roman"/>
                <w:color w:val="auto"/>
                <w:sz w:val="24"/>
                <w:szCs w:val="24"/>
              </w:rPr>
              <w:t>，降低施工噪声对周边敏感目标的影响。</w:t>
            </w:r>
          </w:p>
          <w:p>
            <w:pPr>
              <w:keepNext w:val="0"/>
              <w:keepLines w:val="0"/>
              <w:pageBreakBefore w:val="0"/>
              <w:widowControl w:val="0"/>
              <w:numPr>
                <w:ilvl w:val="0"/>
                <w:numId w:val="6"/>
              </w:numPr>
              <w:kinsoku/>
              <w:wordWrap/>
              <w:overflowPunct/>
              <w:topLinePunct w:val="0"/>
              <w:bidi w:val="0"/>
              <w:adjustRightInd w:val="0"/>
              <w:snapToGrid w:val="0"/>
              <w:spacing w:after="0" w:line="500" w:lineRule="exact"/>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施工噪声不能达到排放标准并对周边居民造成影响时，应在与居民进行协调后给予适当的噪声补偿。</w:t>
            </w:r>
          </w:p>
          <w:p>
            <w:pPr>
              <w:pStyle w:val="20"/>
              <w:keepNext w:val="0"/>
              <w:keepLines w:val="0"/>
              <w:pageBreakBefore w:val="0"/>
              <w:widowControl w:val="0"/>
              <w:numPr>
                <w:ilvl w:val="0"/>
                <w:numId w:val="6"/>
              </w:numPr>
              <w:kinsoku/>
              <w:wordWrap/>
              <w:overflowPunct/>
              <w:topLinePunct w:val="0"/>
              <w:bidi w:val="0"/>
              <w:adjustRightInd w:val="0"/>
              <w:snapToGrid w:val="0"/>
              <w:spacing w:line="500" w:lineRule="exact"/>
              <w:ind w:left="0" w:leftChars="0" w:firstLine="480" w:firstLineChars="200"/>
              <w:jc w:val="left"/>
              <w:textAlignment w:val="auto"/>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为了保护山区自然生态环境，在各个施工作业点合理调配施工人员，尽量减少施工周期，尽可能减小人为噪声和施工行为对当地声环境的干扰破坏。</w:t>
            </w:r>
          </w:p>
          <w:p>
            <w:pPr>
              <w:keepNext w:val="0"/>
              <w:keepLines w:val="0"/>
              <w:pageBreakBefore w:val="0"/>
              <w:widowControl w:val="0"/>
              <w:kinsoku/>
              <w:wordWrap/>
              <w:overflowPunct/>
              <w:topLinePunct w:val="0"/>
              <w:bidi w:val="0"/>
              <w:adjustRightInd w:val="0"/>
              <w:snapToGrid w:val="0"/>
              <w:spacing w:after="0" w:line="500" w:lineRule="exact"/>
              <w:ind w:lef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经采取以上措施后，可有效减轻施工噪声对周围环境产生的影响，可使建筑施工场界噪声满足《建筑施工场界环境噪声排放标准》（GB12523-2011）中的要求，且施工期噪声影响将随着施工期结束而终止。</w:t>
            </w:r>
          </w:p>
          <w:p>
            <w:pPr>
              <w:keepNext w:val="0"/>
              <w:keepLines w:val="0"/>
              <w:pageBreakBefore w:val="0"/>
              <w:widowControl w:val="0"/>
              <w:kinsoku/>
              <w:wordWrap/>
              <w:overflowPunct/>
              <w:topLinePunct w:val="0"/>
              <w:autoSpaceDE/>
              <w:autoSpaceDN/>
              <w:bidi w:val="0"/>
              <w:adjustRightInd/>
              <w:snapToGrid/>
              <w:spacing w:after="0" w:line="500" w:lineRule="exact"/>
              <w:ind w:left="0" w:firstLine="482" w:firstLineChars="200"/>
              <w:jc w:val="left"/>
              <w:textAlignment w:val="auto"/>
              <w:rPr>
                <w:rFonts w:hint="default" w:ascii="Times New Roman" w:hAnsi="Times New Roman" w:eastAsia="宋体" w:cs="Times New Roman"/>
                <w:b/>
                <w:bCs/>
                <w:color w:val="auto"/>
                <w:sz w:val="24"/>
                <w:szCs w:val="24"/>
                <w:lang w:val="zh-CN"/>
              </w:rPr>
            </w:pPr>
            <w:r>
              <w:rPr>
                <w:rFonts w:hint="default" w:ascii="Times New Roman" w:hAnsi="Times New Roman" w:eastAsia="宋体" w:cs="Times New Roman"/>
                <w:b/>
                <w:bCs/>
                <w:color w:val="auto"/>
                <w:sz w:val="24"/>
                <w:szCs w:val="24"/>
                <w:lang w:val="zh-CN"/>
              </w:rPr>
              <w:t>4、施工期固体废物</w:t>
            </w:r>
          </w:p>
          <w:p>
            <w:pPr>
              <w:pageBreakBefore w:val="0"/>
              <w:kinsoku/>
              <w:wordWrap/>
              <w:overflowPunct/>
              <w:topLinePunct w:val="0"/>
              <w:bidi w:val="0"/>
              <w:spacing w:after="0" w:line="500" w:lineRule="exact"/>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施工过程中产生的固体废物如果不妥善处置无组织堆放，不采取相应的防护措施，将污染周围环境。施工期产生的固体废物主要</w:t>
            </w:r>
            <w:r>
              <w:rPr>
                <w:rFonts w:hint="default" w:ascii="Times New Roman" w:hAnsi="Times New Roman" w:eastAsia="宋体" w:cs="Times New Roman"/>
                <w:color w:val="auto"/>
                <w:sz w:val="24"/>
                <w:szCs w:val="24"/>
                <w:highlight w:val="none"/>
                <w:lang w:eastAsia="zh-CN"/>
              </w:rPr>
              <w:t>为</w:t>
            </w:r>
            <w:r>
              <w:rPr>
                <w:rFonts w:hint="default" w:ascii="Times New Roman" w:hAnsi="Times New Roman" w:eastAsia="宋体" w:cs="Times New Roman"/>
                <w:color w:val="auto"/>
                <w:sz w:val="24"/>
                <w:szCs w:val="24"/>
                <w:lang w:val="en-US" w:eastAsia="zh-CN"/>
              </w:rPr>
              <w:t>沉淀池泥沙、淤泥、流域内垃圾</w:t>
            </w:r>
            <w:r>
              <w:rPr>
                <w:rFonts w:hint="default" w:ascii="Times New Roman" w:hAnsi="Times New Roman" w:eastAsia="宋体" w:cs="Times New Roman"/>
                <w:color w:val="auto"/>
                <w:sz w:val="24"/>
                <w:szCs w:val="24"/>
              </w:rPr>
              <w:t>及生活</w:t>
            </w:r>
            <w:r>
              <w:rPr>
                <w:rFonts w:hint="default" w:ascii="Times New Roman" w:hAnsi="Times New Roman" w:eastAsia="宋体" w:cs="Times New Roman"/>
                <w:color w:val="auto"/>
                <w:sz w:val="24"/>
                <w:szCs w:val="24"/>
                <w:lang w:val="en-US" w:eastAsia="zh-CN"/>
              </w:rPr>
              <w:t>垃圾</w:t>
            </w:r>
            <w:r>
              <w:rPr>
                <w:rFonts w:hint="default" w:ascii="Times New Roman" w:hAnsi="Times New Roman" w:eastAsia="宋体" w:cs="Times New Roman"/>
                <w:color w:val="auto"/>
                <w:sz w:val="24"/>
                <w:szCs w:val="24"/>
                <w:lang w:eastAsia="zh-CN"/>
              </w:rPr>
              <w:t>。</w:t>
            </w:r>
          </w:p>
          <w:p>
            <w:pPr>
              <w:pageBreakBefore w:val="0"/>
              <w:kinsoku/>
              <w:wordWrap/>
              <w:overflowPunct/>
              <w:topLinePunct w:val="0"/>
              <w:bidi w:val="0"/>
              <w:spacing w:after="0" w:line="500" w:lineRule="exact"/>
              <w:ind w:lef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1 \* GB2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⑴</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eastAsia="zh-CN"/>
              </w:rPr>
              <w:t>沉淀池泥砂定期清理，用于绿化地面平整。</w:t>
            </w:r>
          </w:p>
          <w:p>
            <w:pPr>
              <w:pageBreakBefore w:val="0"/>
              <w:kinsoku/>
              <w:wordWrap/>
              <w:overflowPunct/>
              <w:topLinePunct w:val="0"/>
              <w:bidi w:val="0"/>
              <w:spacing w:after="0" w:line="500" w:lineRule="exact"/>
              <w:ind w:left="0"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⑵</w:t>
            </w:r>
            <w:r>
              <w:rPr>
                <w:rFonts w:hint="default" w:ascii="Times New Roman" w:hAnsi="Times New Roman" w:eastAsia="宋体" w:cs="Times New Roman"/>
                <w:color w:val="auto"/>
                <w:sz w:val="24"/>
                <w:szCs w:val="24"/>
                <w:highlight w:val="none"/>
                <w:lang w:eastAsia="zh-CN"/>
              </w:rPr>
              <w:t>淤泥及流域内垃圾运输至垃圾填埋场处置。</w:t>
            </w:r>
          </w:p>
          <w:p>
            <w:pPr>
              <w:pageBreakBefore w:val="0"/>
              <w:kinsoku/>
              <w:wordWrap/>
              <w:overflowPunct/>
              <w:topLinePunct w:val="0"/>
              <w:bidi w:val="0"/>
              <w:spacing w:after="0" w:line="500" w:lineRule="exact"/>
              <w:ind w:lef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⑶职工生活垃圾：生活垃圾主要为塑料袋、纸屑等，成分简单，污染较小，集中收集，送当地有关部门指定地点统一处理。</w:t>
            </w:r>
          </w:p>
          <w:p>
            <w:pPr>
              <w:keepNext w:val="0"/>
              <w:keepLines w:val="0"/>
              <w:pageBreakBefore w:val="0"/>
              <w:widowControl w:val="0"/>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本项目施工期间产生的固体废物不会对环境产生明显的影响</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且施工期噪声影响将随着施工期结束而终止。</w:t>
            </w:r>
          </w:p>
          <w:p>
            <w:pPr>
              <w:pageBreakBefore w:val="0"/>
              <w:kinsoku/>
              <w:wordWrap/>
              <w:overflowPunct/>
              <w:topLinePunct w:val="0"/>
              <w:bidi w:val="0"/>
              <w:spacing w:after="0" w:line="500" w:lineRule="exact"/>
              <w:ind w:left="0" w:firstLine="482"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5.生态环境影响分析</w:t>
            </w:r>
          </w:p>
          <w:p>
            <w:pPr>
              <w:pageBreakBefore w:val="0"/>
              <w:kinsoku/>
              <w:wordWrap/>
              <w:overflowPunct/>
              <w:topLinePunct w:val="0"/>
              <w:bidi w:val="0"/>
              <w:spacing w:after="0" w:line="500" w:lineRule="exact"/>
              <w:ind w:lef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本项目由于大量施工人员及机械、车辆进入，</w:t>
            </w:r>
            <w:r>
              <w:rPr>
                <w:rFonts w:hint="default" w:ascii="Times New Roman" w:hAnsi="Times New Roman" w:eastAsia="宋体" w:cs="Times New Roman"/>
                <w:color w:val="auto"/>
                <w:sz w:val="24"/>
                <w:szCs w:val="24"/>
              </w:rPr>
              <w:t>对生态的影响主要表现为土石方处理不当引起水土流失</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以及施工占地、动植物生</w:t>
            </w:r>
            <w:r>
              <w:rPr>
                <w:rFonts w:hint="default" w:ascii="Times New Roman" w:hAnsi="Times New Roman" w:eastAsia="宋体" w:cs="Times New Roman"/>
                <w:color w:val="auto"/>
                <w:sz w:val="24"/>
                <w:szCs w:val="24"/>
                <w:lang w:val="en-US" w:eastAsia="zh-CN"/>
              </w:rPr>
              <w:t>存环</w:t>
            </w:r>
            <w:r>
              <w:rPr>
                <w:rFonts w:hint="default" w:ascii="Times New Roman" w:hAnsi="Times New Roman" w:eastAsia="宋体" w:cs="Times New Roman"/>
                <w:color w:val="auto"/>
                <w:sz w:val="24"/>
                <w:szCs w:val="24"/>
              </w:rPr>
              <w:t>境破坏</w:t>
            </w:r>
            <w:r>
              <w:rPr>
                <w:rFonts w:hint="default" w:ascii="Times New Roman" w:hAnsi="Times New Roman" w:eastAsia="宋体" w:cs="Times New Roman"/>
                <w:color w:val="auto"/>
                <w:sz w:val="24"/>
                <w:szCs w:val="24"/>
                <w:lang w:val="en-US" w:eastAsia="zh-CN"/>
              </w:rPr>
              <w:t>等</w:t>
            </w:r>
            <w:r>
              <w:rPr>
                <w:rFonts w:hint="default" w:ascii="Times New Roman" w:hAnsi="Times New Roman" w:eastAsia="宋体" w:cs="Times New Roman"/>
                <w:color w:val="auto"/>
                <w:sz w:val="24"/>
                <w:szCs w:val="24"/>
              </w:rPr>
              <w:t>，同时施工行为也会对周围生态环境造成影响</w:t>
            </w:r>
            <w:r>
              <w:rPr>
                <w:rFonts w:hint="default" w:ascii="Times New Roman" w:hAnsi="Times New Roman" w:eastAsia="宋体" w:cs="Times New Roman"/>
                <w:color w:val="auto"/>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5.1对水土流失影响</w:t>
            </w:r>
          </w:p>
          <w:p>
            <w:pPr>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在建设过程中，范围内的地表将受到不同程度的破坏，局部地貌将发生较大的改变，如不采取水土保持措施，开挖形成裸露地面和弃渣的水土流失，很容易对区域土地生产力，区域生态环境、工程本身等造成不同程度的危害，其具体表现为项目建设损坏原地貌和植被，产生大量裸露地表，降低其水土保持功能；工程施工可能造成的水土流失主要有以下两方面：</w:t>
            </w:r>
          </w:p>
          <w:p>
            <w:pPr>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⑴基础开挖、削坡等对原有地表的扰动，使其地表植被</w:t>
            </w:r>
            <w:r>
              <w:rPr>
                <w:rFonts w:hint="default" w:ascii="Times New Roman" w:hAnsi="Times New Roman" w:eastAsia="宋体" w:cs="Times New Roman"/>
                <w:color w:val="auto"/>
                <w:sz w:val="24"/>
                <w:szCs w:val="24"/>
                <w:lang w:eastAsia="zh-CN"/>
              </w:rPr>
              <w:t>受</w:t>
            </w:r>
            <w:r>
              <w:rPr>
                <w:rFonts w:hint="default" w:ascii="Times New Roman" w:hAnsi="Times New Roman" w:eastAsia="宋体" w:cs="Times New Roman"/>
                <w:color w:val="auto"/>
                <w:sz w:val="24"/>
                <w:szCs w:val="24"/>
              </w:rPr>
              <w:t>到破坏，水土保持能力降低；</w:t>
            </w:r>
          </w:p>
          <w:p>
            <w:pPr>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⑵临时弃土、弃渣堆置，产生新的裸露地表，该地表受雨水冲刷易产生一定的水土流失。</w:t>
            </w:r>
          </w:p>
          <w:p>
            <w:pPr>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因此，采取完备的水土保持措施是十分有必要的，建议如下：</w:t>
            </w:r>
          </w:p>
          <w:p>
            <w:pPr>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①做好施工监督管理及组织设计。制定完善可行的水土保持管理监督措施，严格按照工程设计、施工进度计划和施工工序进行施工，尽量减少地表裸露时间， 降低人为因素造成的水土流失；</w:t>
            </w:r>
          </w:p>
          <w:p>
            <w:pPr>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②施工过程中还采取了导流等防护措施，防止河道在施工过程河水对河岸施工面的冲刷，维护河岸边坡稳定，预防崩塌、滑坡发生；</w:t>
            </w:r>
          </w:p>
          <w:p>
            <w:pPr>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③河道清淤产生的淤泥及时进行外运，避免长期堆放造成新的水土流失；</w:t>
            </w:r>
          </w:p>
          <w:p>
            <w:pPr>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④清淤过程中尽量避免扰动周边的生态环境；</w:t>
            </w:r>
          </w:p>
          <w:p>
            <w:pPr>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⑤场地平整回填时要做到压实，临时堆放的土石方、砂石料应尽量避免过高；</w:t>
            </w:r>
          </w:p>
          <w:p>
            <w:pPr>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⑥建设过程中若对影响区内植被造成破坏、损毁，应及时规划植物措施，恢复破坏区地表植被，改善其水土保持功能。</w:t>
            </w:r>
          </w:p>
          <w:p>
            <w:pPr>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⑦临时堆存区防护措施：施工过程中设临时堆存区用于堆放需要回用的开挖土方，沿临时堆存区边界设置装土编织拦挡，防治降水将临时土堆冲刷出区外，堆存区且与导流沟相邻，加强排水，同时注意对临时堆土</w:t>
            </w:r>
            <w:r>
              <w:rPr>
                <w:rFonts w:hint="default" w:ascii="Times New Roman" w:hAnsi="Times New Roman" w:eastAsia="宋体" w:cs="Times New Roman"/>
                <w:color w:val="auto"/>
                <w:sz w:val="24"/>
                <w:szCs w:val="24"/>
              </w:rPr>
              <w:t>采用苫布遮盖</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施工结束后</w:t>
            </w:r>
            <w:r>
              <w:rPr>
                <w:rFonts w:hint="default" w:ascii="Times New Roman" w:hAnsi="Times New Roman" w:eastAsia="宋体" w:cs="Times New Roman"/>
                <w:color w:val="auto"/>
                <w:sz w:val="24"/>
                <w:szCs w:val="24"/>
                <w:lang w:eastAsia="zh-CN"/>
              </w:rPr>
              <w:t>平整土地，恢复植被。</w:t>
            </w:r>
          </w:p>
          <w:p>
            <w:pPr>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⑧为减少对周边区域的干涉，保证人员安全，在无法避开雨季施工的情况下，应注意对施工区重点流失位置进行加强防护，避免大面积流失。</w:t>
            </w:r>
          </w:p>
          <w:p>
            <w:pPr>
              <w:keepNext w:val="0"/>
              <w:keepLines w:val="0"/>
              <w:pageBreakBefore w:val="0"/>
              <w:widowControl w:val="0"/>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5.2对水生生物影响</w:t>
            </w:r>
          </w:p>
          <w:p>
            <w:pPr>
              <w:keepNext w:val="0"/>
              <w:keepLines w:val="0"/>
              <w:pageBreakBefore w:val="0"/>
              <w:widowControl w:val="0"/>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对河道现状调查，河道内无珍稀濒危类和受保护鱼类等生物物种，由于现阶段河道水体水质差，导致水体内原有鱼类、河虾等动物生存量少。其次，清淤疏挖作业时需对河道进行断流，水生生物的生存环境因此遭到破坏，游动生物和大部分浮游生物将进入河道上游或下游未断流区域，而少量浮游生物、河底生物会因为现有环境的破坏而造成生物量的损失。</w:t>
            </w:r>
          </w:p>
          <w:p>
            <w:pPr>
              <w:keepNext w:val="0"/>
              <w:keepLines w:val="0"/>
              <w:pageBreakBefore w:val="0"/>
              <w:widowControl w:val="0"/>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但河道治理项目本身作为环境保护的行为，对河道内淤泥疏挖后河道水量将会增长，加之河床内种植多样</w:t>
            </w:r>
            <w:r>
              <w:rPr>
                <w:rFonts w:hint="default" w:ascii="Times New Roman" w:hAnsi="Times New Roman" w:eastAsia="宋体" w:cs="Times New Roman"/>
                <w:color w:val="auto"/>
                <w:sz w:val="24"/>
                <w:szCs w:val="24"/>
                <w:highlight w:val="none"/>
              </w:rPr>
              <w:t>挺水植物</w:t>
            </w:r>
            <w:r>
              <w:rPr>
                <w:rFonts w:hint="default" w:ascii="Times New Roman" w:hAnsi="Times New Roman" w:eastAsia="宋体" w:cs="Times New Roman"/>
                <w:color w:val="auto"/>
                <w:sz w:val="24"/>
                <w:szCs w:val="24"/>
                <w:highlight w:val="none"/>
                <w:lang w:val="en-US" w:eastAsia="zh-CN"/>
              </w:rPr>
              <w:t>及沉水</w:t>
            </w:r>
            <w:r>
              <w:rPr>
                <w:rFonts w:hint="default" w:ascii="Times New Roman" w:hAnsi="Times New Roman" w:eastAsia="宋体" w:cs="Times New Roman"/>
                <w:color w:val="auto"/>
                <w:sz w:val="24"/>
                <w:szCs w:val="24"/>
                <w:highlight w:val="none"/>
              </w:rPr>
              <w:t>植物</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可有效促进水质改善，从而为水生生物的繁殖提供更适宜的生存环境，提高生物多样性。</w:t>
            </w:r>
          </w:p>
          <w:p>
            <w:pPr>
              <w:keepNext w:val="0"/>
              <w:keepLines w:val="0"/>
              <w:pageBreakBefore w:val="0"/>
              <w:widowControl w:val="0"/>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5.3</w:t>
            </w: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z w:val="24"/>
                <w:szCs w:val="24"/>
                <w:lang w:val="en-US" w:eastAsia="zh-CN"/>
              </w:rPr>
              <w:t>陆</w:t>
            </w:r>
            <w:r>
              <w:rPr>
                <w:rFonts w:hint="default" w:ascii="Times New Roman" w:hAnsi="Times New Roman" w:eastAsia="宋体" w:cs="Times New Roman"/>
                <w:color w:val="auto"/>
                <w:sz w:val="24"/>
                <w:szCs w:val="24"/>
              </w:rPr>
              <w:t>生动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植</w:t>
            </w:r>
            <w:r>
              <w:rPr>
                <w:rFonts w:hint="default" w:ascii="Times New Roman" w:hAnsi="Times New Roman" w:eastAsia="宋体" w:cs="Times New Roman"/>
                <w:color w:val="auto"/>
                <w:sz w:val="24"/>
                <w:szCs w:val="24"/>
              </w:rPr>
              <w:t>物的影响</w:t>
            </w:r>
          </w:p>
          <w:p>
            <w:pPr>
              <w:keepNext w:val="0"/>
              <w:keepLines w:val="0"/>
              <w:pageBreakBefore w:val="0"/>
              <w:widowControl w:val="0"/>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项目施工将会对临时占地内的植被进行清理，虽然评价范围内的植被生态价值不高，但必然对自然景观产生负面影响，造成视觉上的不和谐，影响地区整体美感。同时造成周边动物生存环境的破坏，</w:t>
            </w:r>
            <w:r>
              <w:rPr>
                <w:rFonts w:hint="default" w:ascii="Times New Roman" w:hAnsi="Times New Roman" w:eastAsia="宋体" w:cs="Times New Roman"/>
                <w:color w:val="auto"/>
                <w:sz w:val="24"/>
                <w:szCs w:val="24"/>
              </w:rPr>
              <w:t>区域内的鸟类、昆虫和其他无脊椎动物、爬行动物和小型啮齿类动物暂时迁移</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为了降低影响，</w:t>
            </w:r>
            <w:r>
              <w:rPr>
                <w:rFonts w:hint="default" w:ascii="Times New Roman" w:hAnsi="Times New Roman" w:eastAsia="宋体" w:cs="Times New Roman"/>
                <w:color w:val="auto"/>
                <w:sz w:val="24"/>
                <w:szCs w:val="24"/>
              </w:rPr>
              <w:t>在施工过程中</w:t>
            </w:r>
            <w:r>
              <w:rPr>
                <w:rFonts w:hint="default" w:ascii="Times New Roman" w:hAnsi="Times New Roman" w:eastAsia="宋体" w:cs="Times New Roman"/>
                <w:color w:val="auto"/>
                <w:sz w:val="24"/>
                <w:szCs w:val="24"/>
                <w:lang w:val="en-US" w:eastAsia="zh-CN"/>
              </w:rPr>
              <w:t>应</w:t>
            </w:r>
            <w:r>
              <w:rPr>
                <w:rFonts w:hint="default" w:ascii="Times New Roman" w:hAnsi="Times New Roman" w:eastAsia="宋体" w:cs="Times New Roman"/>
                <w:color w:val="auto"/>
                <w:sz w:val="24"/>
                <w:szCs w:val="24"/>
              </w:rPr>
              <w:t>最大限度采取降噪、降尘、机械减振措施，力求将影响降至最低，由于施工面窄、范围小，且施工期较短，影响时间短，施工后又可恢复，对动物食物链影响较小；施工期周围地区的空间足以确保迁移的物种找到替代栖息地，当施工结束植被恢复后，迁出的动物会迁回</w:t>
            </w:r>
            <w:r>
              <w:rPr>
                <w:rFonts w:hint="default" w:ascii="Times New Roman" w:hAnsi="Times New Roman" w:eastAsia="宋体" w:cs="Times New Roman"/>
                <w:color w:val="auto"/>
                <w:sz w:val="24"/>
                <w:szCs w:val="24"/>
                <w:lang w:val="en-US" w:eastAsia="zh-CN"/>
              </w:rPr>
              <w:t>原地</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在河道治理后，项目将进行生态景观的建设，如湿地建设和植物种植，项目建成后绿化面积较之前有所增加，补偿工程施工造成植被损失，提高景观的观赏性，可以超过现有水平。</w:t>
            </w:r>
          </w:p>
          <w:p>
            <w:pPr>
              <w:keepNext w:val="0"/>
              <w:keepLines w:val="0"/>
              <w:pageBreakBefore w:val="0"/>
              <w:widowControl w:val="0"/>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因此项目</w:t>
            </w:r>
            <w:r>
              <w:rPr>
                <w:rFonts w:hint="default" w:ascii="Times New Roman" w:hAnsi="Times New Roman" w:eastAsia="宋体" w:cs="Times New Roman"/>
                <w:color w:val="auto"/>
                <w:sz w:val="24"/>
                <w:szCs w:val="24"/>
                <w:lang w:val="en-US" w:eastAsia="zh-CN"/>
              </w:rPr>
              <w:t>完工后</w:t>
            </w:r>
            <w:r>
              <w:rPr>
                <w:rFonts w:hint="default" w:ascii="Times New Roman" w:hAnsi="Times New Roman" w:eastAsia="宋体" w:cs="Times New Roman"/>
                <w:color w:val="auto"/>
                <w:sz w:val="24"/>
                <w:szCs w:val="24"/>
              </w:rPr>
              <w:t>对区域内动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植</w:t>
            </w:r>
            <w:r>
              <w:rPr>
                <w:rFonts w:hint="default" w:ascii="Times New Roman" w:hAnsi="Times New Roman" w:eastAsia="宋体" w:cs="Times New Roman"/>
                <w:color w:val="auto"/>
                <w:sz w:val="24"/>
                <w:szCs w:val="24"/>
              </w:rPr>
              <w:t>物不会产生明显影响。</w:t>
            </w:r>
          </w:p>
          <w:p>
            <w:pPr>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5.4对社会环境影响</w:t>
            </w:r>
          </w:p>
          <w:p>
            <w:pPr>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施工期间会有运输车辆往来，为了避免车辆的频繁进出对沿路居民及车辆造成不便，建设单位会同交通部门指定合理的运输路线和时间，尽量避开交通运输高峰时段，以缓解施工期对交通带来的拥堵困扰。另外，做好驾驶员的职业道德教育，要求其按照规定路线运输，规定地点停车，规定方式装卸物料，并不定期的检查车辆状态，并要求车辆在施工场地有序作业，减缓行驶速度，禁止鸣笛。</w:t>
            </w:r>
          </w:p>
          <w:p>
            <w:pPr>
              <w:pageBreakBefore w:val="0"/>
              <w:kinsoku/>
              <w:wordWrap/>
              <w:overflowPunct/>
              <w:topLinePunct w:val="0"/>
              <w:bidi w:val="0"/>
              <w:spacing w:after="0" w:line="500" w:lineRule="exact"/>
              <w:ind w:left="0" w:firstLine="480" w:firstLineChars="200"/>
              <w:jc w:val="left"/>
              <w:textAlignment w:val="auto"/>
              <w:rPr>
                <w:sz w:val="24"/>
                <w:szCs w:val="24"/>
              </w:rPr>
            </w:pPr>
            <w:r>
              <w:rPr>
                <w:rFonts w:hint="default" w:ascii="Times New Roman" w:hAnsi="Times New Roman" w:eastAsia="宋体" w:cs="Times New Roman"/>
                <w:color w:val="auto"/>
                <w:sz w:val="24"/>
                <w:szCs w:val="24"/>
                <w:highlight w:val="none"/>
              </w:rPr>
              <w:t>综上所述，本项目施工期产生一定的施工废气、废水、噪声</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固废，对周围环境有一定影响，</w:t>
            </w:r>
            <w:r>
              <w:rPr>
                <w:rFonts w:hint="default" w:ascii="Times New Roman" w:hAnsi="Times New Roman" w:eastAsia="宋体" w:cs="Times New Roman"/>
                <w:color w:val="auto"/>
                <w:sz w:val="24"/>
                <w:szCs w:val="24"/>
                <w:highlight w:val="none"/>
                <w:lang w:val="en-US" w:eastAsia="zh-CN"/>
              </w:rPr>
              <w:t>同时影响施工区域生态环境，</w:t>
            </w:r>
            <w:r>
              <w:rPr>
                <w:rFonts w:hint="default" w:ascii="Times New Roman" w:hAnsi="Times New Roman" w:eastAsia="宋体" w:cs="Times New Roman"/>
                <w:color w:val="auto"/>
                <w:sz w:val="24"/>
                <w:szCs w:val="24"/>
                <w:highlight w:val="none"/>
              </w:rPr>
              <w:t>但是这种影响是短暂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有限的</w:t>
            </w:r>
            <w:r>
              <w:rPr>
                <w:rFonts w:hint="default" w:ascii="Times New Roman" w:hAnsi="Times New Roman" w:eastAsia="宋体" w:cs="Times New Roman"/>
                <w:color w:val="auto"/>
                <w:sz w:val="24"/>
                <w:szCs w:val="24"/>
                <w:highlight w:val="none"/>
              </w:rPr>
              <w:t>，影响程度较轻，且会随着施工期结束而终止。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11" w:hRule="atLeast"/>
        </w:trPr>
        <w:tc>
          <w:tcPr>
            <w:tcW w:w="531" w:type="dxa"/>
            <w:tcBorders>
              <w:top w:val="single" w:color="000000" w:sz="4" w:space="0"/>
              <w:right w:val="single" w:color="000000" w:sz="4" w:space="0"/>
            </w:tcBorders>
            <w:vAlign w:val="center"/>
          </w:tcPr>
          <w:p>
            <w:pPr>
              <w:pStyle w:val="26"/>
              <w:spacing w:before="1" w:line="242" w:lineRule="auto"/>
              <w:ind w:right="43"/>
              <w:jc w:val="center"/>
              <w:rPr>
                <w:sz w:val="24"/>
                <w:szCs w:val="24"/>
              </w:rPr>
            </w:pPr>
            <w:r>
              <w:rPr>
                <w:sz w:val="24"/>
                <w:szCs w:val="24"/>
              </w:rPr>
              <w:t>运营期环境影响和保护措施</w:t>
            </w:r>
          </w:p>
        </w:tc>
        <w:tc>
          <w:tcPr>
            <w:tcW w:w="8559" w:type="dxa"/>
            <w:tcBorders>
              <w:top w:val="single" w:color="000000" w:sz="4" w:space="0"/>
              <w:left w:val="single" w:color="000000" w:sz="4" w:space="0"/>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right="0" w:rightChars="0" w:firstLine="482" w:firstLineChars="200"/>
              <w:jc w:val="left"/>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1、废气</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1.1废气源强估算</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（1）大气污染源源强核算：</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lang w:eastAsia="zh-CN"/>
              </w:rPr>
              <w:t>本</w:t>
            </w:r>
            <w:r>
              <w:rPr>
                <w:rFonts w:hint="default" w:ascii="Times New Roman" w:hAnsi="Times New Roman" w:eastAsia="宋体" w:cs="Times New Roman"/>
              </w:rPr>
              <w:t>项目污水处理</w:t>
            </w:r>
            <w:r>
              <w:rPr>
                <w:rFonts w:hint="default" w:ascii="Times New Roman" w:hAnsi="Times New Roman" w:eastAsia="宋体" w:cs="Times New Roman"/>
                <w:lang w:eastAsia="zh-CN"/>
              </w:rPr>
              <w:t>站</w:t>
            </w:r>
            <w:r>
              <w:rPr>
                <w:rFonts w:hint="default" w:ascii="Times New Roman" w:hAnsi="Times New Roman" w:eastAsia="宋体" w:cs="Times New Roman"/>
              </w:rPr>
              <w:t>的大气污染物主要是污水处理</w:t>
            </w:r>
            <w:r>
              <w:rPr>
                <w:rFonts w:hint="default" w:ascii="Times New Roman" w:hAnsi="Times New Roman" w:eastAsia="宋体" w:cs="Times New Roman"/>
                <w:lang w:eastAsia="zh-CN"/>
              </w:rPr>
              <w:t>站产生的恶臭，</w:t>
            </w:r>
            <w:r>
              <w:rPr>
                <w:rFonts w:hint="default" w:ascii="Times New Roman" w:hAnsi="Times New Roman" w:eastAsia="宋体" w:cs="Times New Roman"/>
                <w:lang w:val="en-US" w:eastAsia="zh-CN"/>
              </w:rPr>
              <w:t>污染因子为氨、硫化氢、臭气</w:t>
            </w:r>
            <w:r>
              <w:rPr>
                <w:rFonts w:hint="default" w:ascii="Times New Roman" w:hAnsi="Times New Roman" w:eastAsia="宋体" w:cs="Times New Roman"/>
              </w:rPr>
              <w:t>等恶臭气体，根据工程特点，产生环节为：</w:t>
            </w:r>
            <w:r>
              <w:rPr>
                <w:rFonts w:hint="default" w:ascii="Times New Roman" w:hAnsi="Times New Roman" w:eastAsia="宋体" w:cs="Times New Roman"/>
                <w:lang w:eastAsia="zh-CN"/>
              </w:rPr>
              <w:t>污水</w:t>
            </w:r>
            <w:r>
              <w:rPr>
                <w:rFonts w:hint="default" w:ascii="Times New Roman" w:hAnsi="Times New Roman" w:eastAsia="宋体" w:cs="Times New Roman"/>
                <w:lang w:val="en-US" w:eastAsia="zh-CN"/>
              </w:rPr>
              <w:t>调节池</w:t>
            </w:r>
            <w:r>
              <w:rPr>
                <w:rFonts w:hint="default" w:ascii="Times New Roman" w:hAnsi="Times New Roman" w:eastAsia="宋体" w:cs="Times New Roman"/>
                <w:lang w:eastAsia="zh-CN"/>
              </w:rPr>
              <w:t>、</w:t>
            </w:r>
            <w:r>
              <w:rPr>
                <w:rFonts w:hint="default" w:ascii="Times New Roman" w:hAnsi="Times New Roman" w:eastAsia="宋体" w:cs="Times New Roman"/>
              </w:rPr>
              <w:t>格栅、调节池、生化处理池等池体，排放方式为无组织面源排放。</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本</w:t>
            </w:r>
            <w:r>
              <w:rPr>
                <w:rFonts w:hint="default" w:ascii="Times New Roman" w:hAnsi="Times New Roman" w:eastAsia="宋体" w:cs="Times New Roman"/>
              </w:rPr>
              <w:t>项目</w:t>
            </w:r>
            <w:r>
              <w:rPr>
                <w:rFonts w:hint="default" w:ascii="Times New Roman" w:hAnsi="Times New Roman" w:eastAsia="宋体" w:cs="Times New Roman"/>
                <w:lang w:eastAsia="zh-CN"/>
              </w:rPr>
              <w:t>污水处理站</w:t>
            </w:r>
            <w:r>
              <w:rPr>
                <w:rFonts w:hint="default" w:ascii="Times New Roman" w:hAnsi="Times New Roman" w:eastAsia="宋体" w:cs="Times New Roman"/>
              </w:rPr>
              <w:t>设备加盖封闭运行、各池体地埋式作业、定期投加除臭剂等措施降低恶臭物质的排放，显著减低了恶臭物质的排放。</w:t>
            </w:r>
            <w:r>
              <w:rPr>
                <w:rFonts w:hint="default" w:ascii="Times New Roman" w:hAnsi="Times New Roman" w:eastAsia="宋体" w:cs="Times New Roman"/>
                <w:lang w:val="en-GB"/>
              </w:rPr>
              <w:t>类比同类污水处理站</w:t>
            </w:r>
            <w:r>
              <w:rPr>
                <w:rFonts w:hint="default" w:ascii="Times New Roman" w:hAnsi="Times New Roman" w:eastAsia="宋体" w:cs="Times New Roman"/>
              </w:rPr>
              <w:t>，</w:t>
            </w:r>
            <w:r>
              <w:rPr>
                <w:rFonts w:hint="default" w:ascii="Times New Roman" w:hAnsi="Times New Roman" w:eastAsia="宋体" w:cs="Times New Roman"/>
                <w:lang w:eastAsia="zh-CN"/>
              </w:rPr>
              <w:t>各个污水处理站</w:t>
            </w:r>
            <w:r>
              <w:rPr>
                <w:rFonts w:hint="default" w:ascii="Times New Roman" w:hAnsi="Times New Roman" w:eastAsia="宋体" w:cs="Times New Roman"/>
              </w:rPr>
              <w:t>NH</w:t>
            </w:r>
            <w:r>
              <w:rPr>
                <w:rFonts w:hint="default" w:ascii="Times New Roman" w:hAnsi="Times New Roman" w:eastAsia="宋体" w:cs="Times New Roman"/>
                <w:vertAlign w:val="subscript"/>
              </w:rPr>
              <w:t>3</w:t>
            </w:r>
            <w:r>
              <w:rPr>
                <w:rFonts w:hint="default" w:ascii="Times New Roman" w:hAnsi="Times New Roman" w:eastAsia="宋体" w:cs="Times New Roman"/>
                <w:lang w:eastAsia="zh-CN"/>
              </w:rPr>
              <w:t>、</w:t>
            </w:r>
            <w:r>
              <w:rPr>
                <w:rFonts w:hint="default" w:ascii="Times New Roman" w:hAnsi="Times New Roman" w:eastAsia="宋体" w:cs="Times New Roman"/>
              </w:rPr>
              <w:t>H</w:t>
            </w:r>
            <w:r>
              <w:rPr>
                <w:rFonts w:hint="default" w:ascii="Times New Roman" w:hAnsi="Times New Roman" w:eastAsia="宋体" w:cs="Times New Roman"/>
                <w:vertAlign w:val="subscript"/>
              </w:rPr>
              <w:t>2</w:t>
            </w:r>
            <w:r>
              <w:rPr>
                <w:rFonts w:hint="default" w:ascii="Times New Roman" w:hAnsi="Times New Roman" w:eastAsia="宋体" w:cs="Times New Roman"/>
              </w:rPr>
              <w:t>S</w:t>
            </w:r>
            <w:r>
              <w:rPr>
                <w:rFonts w:hint="default" w:ascii="Times New Roman" w:hAnsi="Times New Roman" w:eastAsia="宋体" w:cs="Times New Roman"/>
                <w:lang w:eastAsia="zh-CN"/>
              </w:rPr>
              <w:t>排放速率及排放量见下表。</w:t>
            </w:r>
          </w:p>
          <w:p>
            <w:pPr>
              <w:bidi w:val="0"/>
              <w:ind w:left="0" w:leftChars="0"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w:t>
            </w:r>
            <w:r>
              <w:rPr>
                <w:rFonts w:hint="eastAsia" w:ascii="Times New Roman" w:hAnsi="Times New Roman" w:eastAsia="宋体" w:cs="Times New Roman"/>
                <w:b/>
                <w:bCs/>
                <w:sz w:val="21"/>
                <w:szCs w:val="21"/>
                <w:lang w:val="en-US" w:eastAsia="zh-CN"/>
              </w:rPr>
              <w:t>4-3</w:t>
            </w:r>
            <w:r>
              <w:rPr>
                <w:rFonts w:hint="default" w:ascii="Times New Roman" w:hAnsi="Times New Roman" w:eastAsia="宋体" w:cs="Times New Roman"/>
                <w:b/>
                <w:bCs/>
                <w:sz w:val="21"/>
                <w:szCs w:val="21"/>
                <w:lang w:val="en-US" w:eastAsia="zh-CN"/>
              </w:rPr>
              <w:t xml:space="preserve">   项目</w:t>
            </w:r>
            <w:r>
              <w:rPr>
                <w:rFonts w:hint="default" w:ascii="Times New Roman" w:hAnsi="Times New Roman" w:eastAsia="宋体" w:cs="Times New Roman"/>
                <w:b/>
                <w:bCs/>
                <w:sz w:val="21"/>
                <w:szCs w:val="21"/>
              </w:rPr>
              <w:t>NH</w:t>
            </w:r>
            <w:r>
              <w:rPr>
                <w:rFonts w:hint="default" w:ascii="Times New Roman" w:hAnsi="Times New Roman" w:eastAsia="宋体" w:cs="Times New Roman"/>
                <w:b/>
                <w:bCs/>
                <w:sz w:val="21"/>
                <w:szCs w:val="21"/>
                <w:vertAlign w:val="subscript"/>
              </w:rPr>
              <w:t>3</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H</w:t>
            </w:r>
            <w:r>
              <w:rPr>
                <w:rFonts w:hint="default" w:ascii="Times New Roman" w:hAnsi="Times New Roman" w:eastAsia="宋体" w:cs="Times New Roman"/>
                <w:b/>
                <w:bCs/>
                <w:sz w:val="21"/>
                <w:szCs w:val="21"/>
                <w:vertAlign w:val="subscript"/>
              </w:rPr>
              <w:t>2</w:t>
            </w:r>
            <w:r>
              <w:rPr>
                <w:rFonts w:hint="default" w:ascii="Times New Roman" w:hAnsi="Times New Roman" w:eastAsia="宋体" w:cs="Times New Roman"/>
                <w:b/>
                <w:bCs/>
                <w:sz w:val="21"/>
                <w:szCs w:val="21"/>
              </w:rPr>
              <w:t>S</w:t>
            </w:r>
            <w:r>
              <w:rPr>
                <w:rFonts w:hint="default" w:ascii="Times New Roman" w:hAnsi="Times New Roman" w:eastAsia="宋体" w:cs="Times New Roman"/>
                <w:b/>
                <w:bCs/>
                <w:sz w:val="21"/>
                <w:szCs w:val="21"/>
                <w:lang w:eastAsia="zh-CN"/>
              </w:rPr>
              <w:t>排放速率及排放量一览表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8"/>
              <w:gridCol w:w="1464"/>
              <w:gridCol w:w="2927"/>
              <w:gridCol w:w="2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名称</w:t>
                  </w:r>
                </w:p>
              </w:tc>
              <w:tc>
                <w:tcPr>
                  <w:tcW w:w="300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排放速率（</w:t>
                  </w:r>
                  <w:r>
                    <w:rPr>
                      <w:rFonts w:hint="default" w:ascii="Times New Roman" w:hAnsi="Times New Roman" w:eastAsia="宋体" w:cs="Times New Roman"/>
                      <w:b/>
                      <w:bCs/>
                      <w:sz w:val="21"/>
                      <w:szCs w:val="21"/>
                    </w:rPr>
                    <w:t>kg/h</w:t>
                  </w:r>
                  <w:r>
                    <w:rPr>
                      <w:rFonts w:hint="default" w:ascii="Times New Roman" w:hAnsi="Times New Roman" w:eastAsia="宋体" w:cs="Times New Roman"/>
                      <w:b/>
                      <w:bCs/>
                      <w:sz w:val="21"/>
                      <w:szCs w:val="21"/>
                      <w:lang w:eastAsia="zh-CN"/>
                    </w:rPr>
                    <w:t>）</w:t>
                  </w:r>
                </w:p>
              </w:tc>
              <w:tc>
                <w:tcPr>
                  <w:tcW w:w="300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排放量（</w:t>
                  </w:r>
                  <w:r>
                    <w:rPr>
                      <w:rFonts w:hint="default" w:ascii="Times New Roman" w:hAnsi="Times New Roman" w:eastAsia="宋体" w:cs="Times New Roman"/>
                      <w:b/>
                      <w:bCs/>
                      <w:sz w:val="21"/>
                      <w:szCs w:val="21"/>
                      <w:lang w:val="en-US" w:eastAsia="zh-CN"/>
                    </w:rPr>
                    <w:t>kg/a</w:t>
                  </w:r>
                  <w:r>
                    <w:rPr>
                      <w:rFonts w:hint="default" w:ascii="Times New Roman" w:hAnsi="Times New Roman" w:eastAsia="宋体" w:cs="Times New Roman"/>
                      <w:b/>
                      <w:bCs/>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0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污水处理站</w:t>
                  </w:r>
                </w:p>
              </w:tc>
              <w:tc>
                <w:tcPr>
                  <w:tcW w:w="150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NH</w:t>
                  </w:r>
                  <w:r>
                    <w:rPr>
                      <w:rFonts w:hint="default" w:ascii="Times New Roman" w:hAnsi="Times New Roman" w:eastAsia="宋体" w:cs="Times New Roman"/>
                      <w:sz w:val="21"/>
                      <w:szCs w:val="21"/>
                      <w:vertAlign w:val="subscript"/>
                    </w:rPr>
                    <w:t>3</w:t>
                  </w:r>
                </w:p>
              </w:tc>
              <w:tc>
                <w:tcPr>
                  <w:tcW w:w="300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0.000084</w:t>
                  </w:r>
                </w:p>
              </w:tc>
              <w:tc>
                <w:tcPr>
                  <w:tcW w:w="300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50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50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S</w:t>
                  </w:r>
                </w:p>
              </w:tc>
              <w:tc>
                <w:tcPr>
                  <w:tcW w:w="300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0.0000125</w:t>
                  </w:r>
                </w:p>
              </w:tc>
              <w:tc>
                <w:tcPr>
                  <w:tcW w:w="300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0.11</w:t>
                  </w:r>
                </w:p>
              </w:tc>
            </w:tr>
          </w:tbl>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1.2污染物排放源</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本项目废气排放情况见下表。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表</w:t>
            </w:r>
            <w:r>
              <w:rPr>
                <w:rFonts w:hint="default" w:ascii="Times New Roman" w:hAnsi="Times New Roman" w:eastAsia="宋体" w:cs="Times New Roman"/>
                <w:b/>
                <w:bCs/>
                <w:sz w:val="21"/>
                <w:szCs w:val="21"/>
                <w:lang w:val="en-US" w:eastAsia="zh-CN"/>
              </w:rPr>
              <w:t>4-4</w:t>
            </w:r>
            <w:r>
              <w:rPr>
                <w:rFonts w:hint="default" w:ascii="Times New Roman" w:hAnsi="Times New Roman" w:eastAsia="宋体" w:cs="Times New Roman"/>
                <w:b/>
                <w:bCs/>
                <w:sz w:val="21"/>
                <w:szCs w:val="21"/>
              </w:rPr>
              <w:t xml:space="preserve">  </w:t>
            </w:r>
            <w:r>
              <w:rPr>
                <w:rFonts w:hint="default" w:ascii="Times New Roman" w:hAnsi="Times New Roman" w:eastAsia="宋体" w:cs="Times New Roman"/>
                <w:b/>
                <w:bCs/>
                <w:sz w:val="21"/>
                <w:szCs w:val="21"/>
                <w:lang w:eastAsia="zh-CN"/>
              </w:rPr>
              <w:t>本项目废气排放</w:t>
            </w:r>
            <w:r>
              <w:rPr>
                <w:rFonts w:hint="default" w:ascii="Times New Roman" w:hAnsi="Times New Roman" w:eastAsia="宋体" w:cs="Times New Roman"/>
                <w:b/>
                <w:bCs/>
                <w:sz w:val="21"/>
                <w:szCs w:val="21"/>
              </w:rPr>
              <w:t>情况一览表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6"/>
              <w:gridCol w:w="1375"/>
              <w:gridCol w:w="1504"/>
              <w:gridCol w:w="1498"/>
              <w:gridCol w:w="2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830" w:type="pct"/>
                  <w:vMerge w:val="restart"/>
                  <w:tcBorders>
                    <w:tl2br w:val="nil"/>
                    <w:tr2bl w:val="nil"/>
                  </w:tcBorders>
                  <w:noWrap w:val="0"/>
                  <w:vAlign w:val="center"/>
                </w:tcPr>
                <w:p>
                  <w:pPr>
                    <w:pStyle w:val="32"/>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污染源</w:t>
                  </w:r>
                </w:p>
              </w:tc>
              <w:tc>
                <w:tcPr>
                  <w:tcW w:w="784" w:type="pct"/>
                  <w:vMerge w:val="restart"/>
                  <w:tcBorders>
                    <w:tl2br w:val="nil"/>
                    <w:tr2bl w:val="nil"/>
                  </w:tcBorders>
                  <w:noWrap w:val="0"/>
                  <w:vAlign w:val="center"/>
                </w:tcPr>
                <w:p>
                  <w:pPr>
                    <w:pStyle w:val="32"/>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工序</w:t>
                  </w:r>
                </w:p>
              </w:tc>
              <w:tc>
                <w:tcPr>
                  <w:tcW w:w="857" w:type="pct"/>
                  <w:vMerge w:val="restart"/>
                  <w:tcBorders>
                    <w:tl2br w:val="nil"/>
                    <w:tr2bl w:val="nil"/>
                  </w:tcBorders>
                  <w:noWrap w:val="0"/>
                  <w:vAlign w:val="center"/>
                </w:tcPr>
                <w:p>
                  <w:pPr>
                    <w:pStyle w:val="32"/>
                    <w:ind w:left="0" w:leftChars="0" w:right="0" w:rightChars="0" w:firstLine="0" w:firstLineChars="0"/>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污染物</w:t>
                  </w:r>
                </w:p>
              </w:tc>
              <w:tc>
                <w:tcPr>
                  <w:tcW w:w="2527" w:type="pct"/>
                  <w:gridSpan w:val="2"/>
                  <w:tcBorders>
                    <w:tl2br w:val="nil"/>
                    <w:tr2bl w:val="nil"/>
                  </w:tcBorders>
                  <w:noWrap w:val="0"/>
                  <w:vAlign w:val="center"/>
                </w:tcPr>
                <w:p>
                  <w:pPr>
                    <w:pStyle w:val="32"/>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30" w:type="pct"/>
                  <w:vMerge w:val="continue"/>
                  <w:tcBorders>
                    <w:tl2br w:val="nil"/>
                    <w:tr2bl w:val="nil"/>
                  </w:tcBorders>
                  <w:noWrap w:val="0"/>
                  <w:vAlign w:val="center"/>
                </w:tcPr>
                <w:p>
                  <w:pPr>
                    <w:pStyle w:val="32"/>
                    <w:rPr>
                      <w:rFonts w:hint="default" w:ascii="Times New Roman" w:hAnsi="Times New Roman" w:eastAsia="宋体" w:cs="Times New Roman"/>
                      <w:b/>
                      <w:bCs/>
                      <w:sz w:val="21"/>
                      <w:szCs w:val="21"/>
                    </w:rPr>
                  </w:pPr>
                </w:p>
              </w:tc>
              <w:tc>
                <w:tcPr>
                  <w:tcW w:w="784" w:type="pct"/>
                  <w:vMerge w:val="continue"/>
                  <w:tcBorders>
                    <w:tl2br w:val="nil"/>
                    <w:tr2bl w:val="nil"/>
                  </w:tcBorders>
                  <w:noWrap w:val="0"/>
                  <w:vAlign w:val="center"/>
                </w:tcPr>
                <w:p>
                  <w:pPr>
                    <w:pStyle w:val="32"/>
                    <w:rPr>
                      <w:rFonts w:hint="default" w:ascii="Times New Roman" w:hAnsi="Times New Roman" w:eastAsia="宋体" w:cs="Times New Roman"/>
                      <w:b/>
                      <w:bCs/>
                      <w:sz w:val="21"/>
                      <w:szCs w:val="21"/>
                    </w:rPr>
                  </w:pPr>
                </w:p>
              </w:tc>
              <w:tc>
                <w:tcPr>
                  <w:tcW w:w="857" w:type="pct"/>
                  <w:vMerge w:val="continue"/>
                  <w:tcBorders>
                    <w:tl2br w:val="nil"/>
                    <w:tr2bl w:val="nil"/>
                  </w:tcBorders>
                  <w:noWrap w:val="0"/>
                  <w:vAlign w:val="center"/>
                </w:tcPr>
                <w:p>
                  <w:pPr>
                    <w:pStyle w:val="32"/>
                    <w:rPr>
                      <w:rFonts w:hint="default" w:ascii="Times New Roman" w:hAnsi="Times New Roman" w:eastAsia="宋体" w:cs="Times New Roman"/>
                      <w:b/>
                      <w:bCs/>
                      <w:sz w:val="21"/>
                      <w:szCs w:val="21"/>
                    </w:rPr>
                  </w:pPr>
                </w:p>
              </w:tc>
              <w:tc>
                <w:tcPr>
                  <w:tcW w:w="854" w:type="pct"/>
                  <w:tcBorders>
                    <w:tl2br w:val="nil"/>
                    <w:tr2bl w:val="nil"/>
                  </w:tcBorders>
                  <w:noWrap w:val="0"/>
                  <w:vAlign w:val="center"/>
                </w:tcPr>
                <w:p>
                  <w:pPr>
                    <w:pStyle w:val="32"/>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排放量</w:t>
                  </w:r>
                  <w:r>
                    <w:rPr>
                      <w:rFonts w:hint="default" w:ascii="Times New Roman" w:hAnsi="Times New Roman" w:eastAsia="宋体" w:cs="Times New Roman"/>
                      <w:b/>
                      <w:bCs/>
                      <w:sz w:val="21"/>
                      <w:szCs w:val="21"/>
                      <w:lang w:val="en-US" w:eastAsia="zh-CN"/>
                    </w:rPr>
                    <w:t>kg</w:t>
                  </w:r>
                  <w:r>
                    <w:rPr>
                      <w:rFonts w:hint="default" w:ascii="Times New Roman" w:hAnsi="Times New Roman" w:eastAsia="宋体" w:cs="Times New Roman"/>
                      <w:b/>
                      <w:bCs/>
                      <w:sz w:val="21"/>
                      <w:szCs w:val="21"/>
                    </w:rPr>
                    <w:t>/a</w:t>
                  </w:r>
                </w:p>
              </w:tc>
              <w:tc>
                <w:tcPr>
                  <w:tcW w:w="1673" w:type="pct"/>
                  <w:tcBorders>
                    <w:tl2br w:val="nil"/>
                    <w:tr2bl w:val="nil"/>
                  </w:tcBorders>
                  <w:noWrap w:val="0"/>
                  <w:vAlign w:val="center"/>
                </w:tcPr>
                <w:p>
                  <w:pPr>
                    <w:pStyle w:val="32"/>
                    <w:ind w:firstLine="0" w:firstLineChars="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速率kg</w:t>
                  </w:r>
                  <w:r>
                    <w:rPr>
                      <w:rFonts w:hint="default" w:ascii="Times New Roman" w:hAnsi="Times New Roman" w:eastAsia="宋体" w:cs="Times New Roman"/>
                      <w:b/>
                      <w:bCs/>
                      <w:sz w:val="21"/>
                      <w:szCs w:val="21"/>
                    </w:rPr>
                    <w:t>/</w:t>
                  </w:r>
                  <w:r>
                    <w:rPr>
                      <w:rFonts w:hint="default" w:ascii="Times New Roman" w:hAnsi="Times New Roman" w:eastAsia="宋体" w:cs="Times New Roman"/>
                      <w:b/>
                      <w:bCs/>
                      <w:sz w:val="21"/>
                      <w:szCs w:val="21"/>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830" w:type="pct"/>
                  <w:vMerge w:val="restart"/>
                  <w:tcBorders>
                    <w:tl2br w:val="nil"/>
                    <w:tr2bl w:val="nil"/>
                  </w:tcBorders>
                  <w:noWrap w:val="0"/>
                  <w:vAlign w:val="center"/>
                </w:tcPr>
                <w:p>
                  <w:pPr>
                    <w:pStyle w:val="3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污水处理站</w:t>
                  </w:r>
                </w:p>
              </w:tc>
              <w:tc>
                <w:tcPr>
                  <w:tcW w:w="784" w:type="pct"/>
                  <w:vMerge w:val="restart"/>
                  <w:tcBorders>
                    <w:tl2br w:val="nil"/>
                    <w:tr2bl w:val="nil"/>
                  </w:tcBorders>
                  <w:noWrap w:val="0"/>
                  <w:vAlign w:val="center"/>
                </w:tcPr>
                <w:p>
                  <w:pPr>
                    <w:pStyle w:val="3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污水处理</w:t>
                  </w:r>
                </w:p>
              </w:tc>
              <w:tc>
                <w:tcPr>
                  <w:tcW w:w="857" w:type="pct"/>
                  <w:tcBorders>
                    <w:tl2br w:val="nil"/>
                    <w:tr2bl w:val="nil"/>
                  </w:tcBorders>
                  <w:noWrap w:val="0"/>
                  <w:vAlign w:val="center"/>
                </w:tcPr>
                <w:p>
                  <w:pPr>
                    <w:pStyle w:val="32"/>
                    <w:ind w:left="0" w:leftChars="0" w:right="0" w:righ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NH</w:t>
                  </w:r>
                  <w:r>
                    <w:rPr>
                      <w:rFonts w:hint="default" w:ascii="Times New Roman" w:hAnsi="Times New Roman" w:eastAsia="宋体" w:cs="Times New Roman"/>
                      <w:sz w:val="21"/>
                      <w:szCs w:val="21"/>
                      <w:vertAlign w:val="subscript"/>
                    </w:rPr>
                    <w:t>3</w:t>
                  </w:r>
                </w:p>
              </w:tc>
              <w:tc>
                <w:tcPr>
                  <w:tcW w:w="14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0.74</w:t>
                  </w:r>
                </w:p>
              </w:tc>
              <w:tc>
                <w:tcPr>
                  <w:tcW w:w="28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0.000084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30" w:type="pct"/>
                  <w:vMerge w:val="continue"/>
                  <w:tcBorders>
                    <w:tl2br w:val="nil"/>
                    <w:tr2bl w:val="nil"/>
                  </w:tcBorders>
                  <w:noWrap w:val="0"/>
                  <w:vAlign w:val="center"/>
                </w:tcPr>
                <w:p>
                  <w:pPr>
                    <w:pStyle w:val="32"/>
                    <w:rPr>
                      <w:rFonts w:hint="default" w:ascii="Times New Roman" w:hAnsi="Times New Roman" w:eastAsia="宋体" w:cs="Times New Roman"/>
                      <w:sz w:val="21"/>
                      <w:szCs w:val="21"/>
                      <w:lang w:val="en-US" w:eastAsia="zh-CN"/>
                    </w:rPr>
                  </w:pPr>
                </w:p>
              </w:tc>
              <w:tc>
                <w:tcPr>
                  <w:tcW w:w="784" w:type="pct"/>
                  <w:vMerge w:val="continue"/>
                  <w:tcBorders>
                    <w:tl2br w:val="nil"/>
                    <w:tr2bl w:val="nil"/>
                  </w:tcBorders>
                  <w:noWrap w:val="0"/>
                  <w:vAlign w:val="center"/>
                </w:tcPr>
                <w:p>
                  <w:pPr>
                    <w:pStyle w:val="32"/>
                    <w:rPr>
                      <w:rFonts w:hint="default" w:ascii="Times New Roman" w:hAnsi="Times New Roman" w:eastAsia="宋体" w:cs="Times New Roman"/>
                      <w:sz w:val="21"/>
                      <w:szCs w:val="21"/>
                      <w:lang w:val="en-US" w:eastAsia="zh-CN"/>
                    </w:rPr>
                  </w:pPr>
                </w:p>
              </w:tc>
              <w:tc>
                <w:tcPr>
                  <w:tcW w:w="857" w:type="pct"/>
                  <w:tcBorders>
                    <w:tl2br w:val="nil"/>
                    <w:tr2bl w:val="nil"/>
                  </w:tcBorders>
                  <w:noWrap w:val="0"/>
                  <w:vAlign w:val="center"/>
                </w:tcPr>
                <w:p>
                  <w:pPr>
                    <w:pStyle w:val="3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S</w:t>
                  </w:r>
                </w:p>
              </w:tc>
              <w:tc>
                <w:tcPr>
                  <w:tcW w:w="14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0.11</w:t>
                  </w:r>
                </w:p>
              </w:tc>
              <w:tc>
                <w:tcPr>
                  <w:tcW w:w="28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0.0000125</w:t>
                  </w:r>
                </w:p>
              </w:tc>
            </w:tr>
          </w:tbl>
          <w:p>
            <w:pPr>
              <w:keepNext w:val="0"/>
              <w:keepLines w:val="0"/>
              <w:pageBreakBefore w:val="0"/>
              <w:widowControl w:val="0"/>
              <w:kinsoku/>
              <w:wordWrap/>
              <w:overflowPunct/>
              <w:topLinePunct w:val="0"/>
              <w:autoSpaceDE w:val="0"/>
              <w:autoSpaceDN w:val="0"/>
              <w:bidi w:val="0"/>
              <w:adjustRightInd/>
              <w:snapToGrid/>
              <w:spacing w:before="0" w:line="500" w:lineRule="exact"/>
              <w:ind w:leftChars="0" w:firstLine="48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1.3废气收集处理措施</w:t>
            </w:r>
          </w:p>
          <w:p>
            <w:pPr>
              <w:keepNext w:val="0"/>
              <w:keepLines w:val="0"/>
              <w:pageBreakBefore w:val="0"/>
              <w:widowControl w:val="0"/>
              <w:kinsoku/>
              <w:wordWrap/>
              <w:overflowPunct/>
              <w:topLinePunct w:val="0"/>
              <w:autoSpaceDE w:val="0"/>
              <w:autoSpaceDN w:val="0"/>
              <w:bidi w:val="0"/>
              <w:adjustRightInd/>
              <w:snapToGrid/>
              <w:spacing w:before="0" w:line="500" w:lineRule="exact"/>
              <w:ind w:leftChars="0" w:firstLine="48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本</w:t>
            </w:r>
            <w:r>
              <w:rPr>
                <w:rFonts w:hint="default" w:ascii="Times New Roman" w:hAnsi="Times New Roman" w:eastAsia="宋体" w:cs="Times New Roman"/>
              </w:rPr>
              <w:t>项目</w:t>
            </w:r>
            <w:r>
              <w:rPr>
                <w:rFonts w:hint="default" w:ascii="Times New Roman" w:hAnsi="Times New Roman" w:eastAsia="宋体" w:cs="Times New Roman"/>
                <w:lang w:eastAsia="zh-CN"/>
              </w:rPr>
              <w:t>废气为无组织排放，污水处理站</w:t>
            </w:r>
            <w:r>
              <w:rPr>
                <w:rFonts w:hint="default" w:ascii="Times New Roman" w:hAnsi="Times New Roman" w:eastAsia="宋体" w:cs="Times New Roman"/>
              </w:rPr>
              <w:t>设备加盖封闭运行、各池体地埋式作业、定期投加除臭剂等措施降低恶臭物质的排放，显著减低了恶臭物质的排放。</w:t>
            </w:r>
          </w:p>
          <w:p>
            <w:pPr>
              <w:pStyle w:val="20"/>
              <w:keepNext w:val="0"/>
              <w:keepLines w:val="0"/>
              <w:pageBreakBefore w:val="0"/>
              <w:widowControl w:val="0"/>
              <w:kinsoku/>
              <w:wordWrap/>
              <w:overflowPunct/>
              <w:topLinePunct w:val="0"/>
              <w:autoSpaceDE w:val="0"/>
              <w:autoSpaceDN w:val="0"/>
              <w:bidi w:val="0"/>
              <w:adjustRightInd w:val="0"/>
              <w:snapToGrid/>
              <w:spacing w:line="500" w:lineRule="exact"/>
              <w:ind w:leftChars="0" w:firstLine="48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1.4环保设备的技术可行性</w:t>
            </w:r>
          </w:p>
          <w:p>
            <w:pPr>
              <w:pageBreakBefore w:val="0"/>
              <w:widowControl w:val="0"/>
              <w:kinsoku/>
              <w:wordWrap/>
              <w:overflowPunct/>
              <w:topLinePunct w:val="0"/>
              <w:autoSpaceDE w:val="0"/>
              <w:autoSpaceDN w:val="0"/>
              <w:bidi w:val="0"/>
              <w:snapToGrid/>
              <w:spacing w:before="0" w:line="500" w:lineRule="exact"/>
              <w:ind w:leftChars="0"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项目拟建污水处理站恶臭气体排放浓度相对较低，且设备或池体加盖，</w:t>
            </w:r>
            <w:r>
              <w:rPr>
                <w:rFonts w:hint="default" w:ascii="Times New Roman" w:hAnsi="Times New Roman" w:eastAsia="宋体" w:cs="Times New Roman"/>
                <w:lang w:eastAsia="zh-CN"/>
              </w:rPr>
              <w:t>设备</w:t>
            </w:r>
            <w:r>
              <w:rPr>
                <w:rFonts w:hint="default" w:ascii="Times New Roman" w:hAnsi="Times New Roman" w:eastAsia="宋体" w:cs="Times New Roman"/>
              </w:rPr>
              <w:t>设置于地下，地埋式作业，定期投加除臭剂，结合项目大气影响预测结果，项目排放的各类污染物排放速率不大，排放浓度较低，均满足《城镇污水处理站污染物排放标准》（GB18918-2002）及其修改单表4二级标准要求，各厂界污染物为达标排放；项目投产运行后，区域环境空气中的NH</w:t>
            </w:r>
            <w:r>
              <w:rPr>
                <w:rFonts w:hint="default" w:ascii="Times New Roman" w:hAnsi="Times New Roman" w:eastAsia="宋体" w:cs="Times New Roman"/>
                <w:vertAlign w:val="subscript"/>
              </w:rPr>
              <w:t>3</w:t>
            </w:r>
            <w:r>
              <w:rPr>
                <w:rFonts w:hint="default" w:ascii="Times New Roman" w:hAnsi="Times New Roman" w:eastAsia="宋体" w:cs="Times New Roman"/>
              </w:rPr>
              <w:t>和H</w:t>
            </w:r>
            <w:r>
              <w:rPr>
                <w:rFonts w:hint="default" w:ascii="Times New Roman" w:hAnsi="Times New Roman" w:eastAsia="宋体" w:cs="Times New Roman"/>
                <w:vertAlign w:val="subscript"/>
              </w:rPr>
              <w:t>2</w:t>
            </w:r>
            <w:r>
              <w:rPr>
                <w:rFonts w:hint="default" w:ascii="Times New Roman" w:hAnsi="Times New Roman" w:eastAsia="宋体" w:cs="Times New Roman"/>
              </w:rPr>
              <w:t>S均满足《环境影响评价技术导则  大气环境》（HJ2.2-2018）附录D表D.1其他污染物空气质量浓度参考限值的要求。项目生产运行阶段恶臭物质的排放对区域环境空气质量的影响较小。</w:t>
            </w:r>
          </w:p>
          <w:p>
            <w:pPr>
              <w:pStyle w:val="20"/>
              <w:keepNext w:val="0"/>
              <w:keepLines w:val="0"/>
              <w:pageBreakBefore w:val="0"/>
              <w:widowControl w:val="0"/>
              <w:kinsoku/>
              <w:wordWrap/>
              <w:overflowPunct/>
              <w:topLinePunct w:val="0"/>
              <w:autoSpaceDE w:val="0"/>
              <w:autoSpaceDN w:val="0"/>
              <w:bidi w:val="0"/>
              <w:adjustRightInd w:val="0"/>
              <w:snapToGrid/>
              <w:spacing w:line="500" w:lineRule="exact"/>
              <w:ind w:lef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1.5正常工况下废气达标分析</w:t>
            </w:r>
          </w:p>
          <w:p>
            <w:pPr>
              <w:pStyle w:val="20"/>
              <w:keepNext w:val="0"/>
              <w:keepLines w:val="0"/>
              <w:pageBreakBefore w:val="0"/>
              <w:widowControl w:val="0"/>
              <w:numPr>
                <w:ilvl w:val="0"/>
                <w:numId w:val="0"/>
              </w:numPr>
              <w:kinsoku/>
              <w:wordWrap/>
              <w:overflowPunct/>
              <w:topLinePunct w:val="0"/>
              <w:autoSpaceDE w:val="0"/>
              <w:autoSpaceDN w:val="0"/>
              <w:bidi w:val="0"/>
              <w:snapToGrid/>
              <w:spacing w:line="500" w:lineRule="exact"/>
              <w:ind w:lef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⑴厂界废气达标分析</w:t>
            </w:r>
          </w:p>
          <w:p>
            <w:pPr>
              <w:keepNext/>
              <w:keepLines/>
              <w:pageBreakBefore w:val="0"/>
              <w:widowControl w:val="0"/>
              <w:kinsoku/>
              <w:wordWrap/>
              <w:overflowPunct/>
              <w:topLinePunct w:val="0"/>
              <w:autoSpaceDE w:val="0"/>
              <w:autoSpaceDN w:val="0"/>
              <w:bidi w:val="0"/>
              <w:snapToGrid/>
              <w:spacing w:before="0" w:line="500" w:lineRule="exact"/>
              <w:ind w:leftChars="0" w:firstLine="480" w:firstLineChars="200"/>
              <w:jc w:val="left"/>
              <w:textAlignment w:val="auto"/>
              <w:outlineLvl w:val="2"/>
              <w:rPr>
                <w:rFonts w:hint="default" w:ascii="Times New Roman" w:hAnsi="Times New Roman" w:eastAsia="宋体" w:cs="Times New Roman"/>
                <w:lang w:eastAsia="zh-CN"/>
              </w:rPr>
            </w:pPr>
            <w:r>
              <w:rPr>
                <w:rFonts w:hint="default" w:ascii="Times New Roman" w:hAnsi="Times New Roman" w:eastAsia="宋体" w:cs="Times New Roman"/>
                <w:lang w:eastAsia="zh-CN"/>
              </w:rPr>
              <w:t>本次评价采用《环境影响评价技术导则大气环境》（HJ2.2-2018）推荐的</w:t>
            </w:r>
            <w:r>
              <w:rPr>
                <w:rFonts w:hint="default" w:ascii="Times New Roman" w:hAnsi="Times New Roman" w:eastAsia="宋体" w:cs="Times New Roman"/>
              </w:rPr>
              <w:t>预测软件EIAPro2018中</w:t>
            </w:r>
            <w:r>
              <w:rPr>
                <w:rFonts w:hint="default" w:ascii="Times New Roman" w:hAnsi="Times New Roman" w:eastAsia="宋体" w:cs="Times New Roman"/>
                <w:lang w:eastAsia="zh-CN"/>
              </w:rPr>
              <w:t>估算模型 AERSCREEN，对项目排放废气的厂界最大落地浓度进行估算。厂界废气排放达标论证结果见下表。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lang w:val="zh-CN"/>
              </w:rPr>
            </w:pPr>
            <w:r>
              <w:rPr>
                <w:rFonts w:hint="default" w:ascii="Times New Roman" w:hAnsi="Times New Roman" w:eastAsia="宋体" w:cs="Times New Roman"/>
                <w:b/>
                <w:bCs/>
                <w:sz w:val="21"/>
                <w:szCs w:val="21"/>
              </w:rPr>
              <w:t>表</w:t>
            </w:r>
            <w:r>
              <w:rPr>
                <w:rFonts w:hint="default" w:ascii="Times New Roman" w:hAnsi="Times New Roman" w:eastAsia="宋体" w:cs="Times New Roman"/>
                <w:b/>
                <w:bCs/>
                <w:sz w:val="21"/>
                <w:szCs w:val="21"/>
                <w:lang w:val="en-US" w:eastAsia="zh-CN"/>
              </w:rPr>
              <w:t>4-</w:t>
            </w:r>
            <w:r>
              <w:rPr>
                <w:rFonts w:hint="eastAsia" w:ascii="Times New Roman" w:hAnsi="Times New Roman" w:eastAsia="宋体" w:cs="Times New Roman"/>
                <w:b/>
                <w:bCs/>
                <w:sz w:val="21"/>
                <w:szCs w:val="21"/>
                <w:lang w:val="en-US" w:eastAsia="zh-CN"/>
              </w:rPr>
              <w:t>5</w:t>
            </w:r>
            <w:r>
              <w:rPr>
                <w:rFonts w:hint="default"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rPr>
              <w:t>面源</w:t>
            </w:r>
            <w:r>
              <w:rPr>
                <w:rFonts w:hint="default" w:ascii="Times New Roman" w:hAnsi="Times New Roman" w:eastAsia="宋体" w:cs="Times New Roman"/>
                <w:b/>
                <w:bCs/>
                <w:sz w:val="21"/>
                <w:szCs w:val="21"/>
                <w:lang w:val="zh-CN"/>
              </w:rPr>
              <w:t>主要预测参数一览表</w:t>
            </w:r>
          </w:p>
          <w:tbl>
            <w:tblPr>
              <w:tblStyle w:val="1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255"/>
              <w:gridCol w:w="256"/>
              <w:gridCol w:w="1546"/>
              <w:gridCol w:w="1441"/>
              <w:gridCol w:w="548"/>
              <w:gridCol w:w="573"/>
              <w:gridCol w:w="424"/>
              <w:gridCol w:w="482"/>
              <w:gridCol w:w="571"/>
              <w:gridCol w:w="611"/>
              <w:gridCol w:w="339"/>
              <w:gridCol w:w="804"/>
              <w:gridCol w:w="9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9" w:hRule="atLeast"/>
                <w:jc w:val="center"/>
              </w:trPr>
              <w:tc>
                <w:tcPr>
                  <w:tcW w:w="255" w:type="dxa"/>
                  <w:vMerge w:val="restart"/>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lang w:val="zh-CN"/>
                    </w:rPr>
                  </w:pPr>
                  <w:r>
                    <w:rPr>
                      <w:rFonts w:hint="default" w:ascii="Times New Roman" w:hAnsi="Times New Roman" w:eastAsia="宋体" w:cs="Times New Roman"/>
                      <w:b/>
                      <w:bCs/>
                      <w:sz w:val="21"/>
                      <w:szCs w:val="21"/>
                      <w:lang w:val="zh-CN"/>
                    </w:rPr>
                    <w:t>编号</w:t>
                  </w:r>
                </w:p>
              </w:tc>
              <w:tc>
                <w:tcPr>
                  <w:tcW w:w="256" w:type="dxa"/>
                  <w:vMerge w:val="restart"/>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lang w:val="zh-CN"/>
                    </w:rPr>
                  </w:pPr>
                  <w:r>
                    <w:rPr>
                      <w:rFonts w:hint="default" w:ascii="Times New Roman" w:hAnsi="Times New Roman" w:eastAsia="宋体" w:cs="Times New Roman"/>
                      <w:b/>
                      <w:bCs/>
                      <w:sz w:val="21"/>
                      <w:szCs w:val="21"/>
                      <w:lang w:val="zh-CN"/>
                    </w:rPr>
                    <w:t>名称</w:t>
                  </w:r>
                </w:p>
              </w:tc>
              <w:tc>
                <w:tcPr>
                  <w:tcW w:w="2987" w:type="dxa"/>
                  <w:gridSpan w:val="2"/>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zh-CN"/>
                    </w:rPr>
                    <w:t>面源起点坐标</w:t>
                  </w:r>
                  <w:r>
                    <w:rPr>
                      <w:rFonts w:hint="default" w:ascii="Times New Roman" w:hAnsi="Times New Roman" w:eastAsia="宋体" w:cs="Times New Roman"/>
                      <w:b/>
                      <w:bCs/>
                      <w:sz w:val="21"/>
                      <w:szCs w:val="21"/>
                    </w:rPr>
                    <w:t>/m</w:t>
                  </w:r>
                </w:p>
              </w:tc>
              <w:tc>
                <w:tcPr>
                  <w:tcW w:w="548" w:type="dxa"/>
                  <w:vMerge w:val="restart"/>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面源</w:t>
                  </w:r>
                  <w:r>
                    <w:rPr>
                      <w:rFonts w:hint="default" w:ascii="Times New Roman" w:hAnsi="Times New Roman" w:eastAsia="宋体" w:cs="Times New Roman"/>
                      <w:b/>
                      <w:bCs/>
                      <w:sz w:val="21"/>
                      <w:szCs w:val="21"/>
                      <w:lang w:eastAsia="zh-CN"/>
                    </w:rPr>
                    <w:t>海拔高度</w:t>
                  </w:r>
                  <w:r>
                    <w:rPr>
                      <w:rFonts w:hint="default" w:ascii="Times New Roman" w:hAnsi="Times New Roman" w:eastAsia="宋体" w:cs="Times New Roman"/>
                      <w:b/>
                      <w:bCs/>
                      <w:sz w:val="21"/>
                      <w:szCs w:val="21"/>
                    </w:rPr>
                    <w:t>/m</w:t>
                  </w:r>
                </w:p>
              </w:tc>
              <w:tc>
                <w:tcPr>
                  <w:tcW w:w="573" w:type="dxa"/>
                  <w:vMerge w:val="restart"/>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eastAsia="zh-CN"/>
                    </w:rPr>
                    <w:t>面源长度</w:t>
                  </w:r>
                  <w:r>
                    <w:rPr>
                      <w:rFonts w:hint="default" w:ascii="Times New Roman" w:hAnsi="Times New Roman" w:eastAsia="宋体" w:cs="Times New Roman"/>
                      <w:b/>
                      <w:bCs/>
                      <w:sz w:val="21"/>
                      <w:szCs w:val="21"/>
                      <w:lang w:val="en-US" w:eastAsia="zh-CN"/>
                    </w:rPr>
                    <w:t>/m</w:t>
                  </w:r>
                </w:p>
              </w:tc>
              <w:tc>
                <w:tcPr>
                  <w:tcW w:w="424" w:type="dxa"/>
                  <w:vMerge w:val="restart"/>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面缘宽度/m</w:t>
                  </w:r>
                </w:p>
              </w:tc>
              <w:tc>
                <w:tcPr>
                  <w:tcW w:w="482" w:type="dxa"/>
                  <w:vMerge w:val="restart"/>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正北向夹角/°</w:t>
                  </w:r>
                </w:p>
              </w:tc>
              <w:tc>
                <w:tcPr>
                  <w:tcW w:w="571" w:type="dxa"/>
                  <w:vMerge w:val="restart"/>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zh-CN"/>
                    </w:rPr>
                    <w:t>面源有效排放高度</w:t>
                  </w:r>
                  <w:r>
                    <w:rPr>
                      <w:rFonts w:hint="default" w:ascii="Times New Roman" w:hAnsi="Times New Roman" w:eastAsia="宋体" w:cs="Times New Roman"/>
                      <w:b/>
                      <w:bCs/>
                      <w:sz w:val="21"/>
                      <w:szCs w:val="21"/>
                    </w:rPr>
                    <w:t>/m</w:t>
                  </w:r>
                </w:p>
              </w:tc>
              <w:tc>
                <w:tcPr>
                  <w:tcW w:w="611" w:type="dxa"/>
                  <w:vMerge w:val="restart"/>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zh-CN"/>
                    </w:rPr>
                    <w:t>年排放小时数</w:t>
                  </w:r>
                  <w:r>
                    <w:rPr>
                      <w:rFonts w:hint="default" w:ascii="Times New Roman" w:hAnsi="Times New Roman" w:eastAsia="宋体" w:cs="Times New Roman"/>
                      <w:b/>
                      <w:bCs/>
                      <w:sz w:val="21"/>
                      <w:szCs w:val="21"/>
                    </w:rPr>
                    <w:t>/h</w:t>
                  </w:r>
                </w:p>
              </w:tc>
              <w:tc>
                <w:tcPr>
                  <w:tcW w:w="339" w:type="dxa"/>
                  <w:vMerge w:val="restart"/>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lang w:val="zh-CN"/>
                    </w:rPr>
                  </w:pPr>
                  <w:r>
                    <w:rPr>
                      <w:rFonts w:hint="default" w:ascii="Times New Roman" w:hAnsi="Times New Roman" w:eastAsia="宋体" w:cs="Times New Roman"/>
                      <w:b/>
                      <w:bCs/>
                      <w:sz w:val="21"/>
                      <w:szCs w:val="21"/>
                      <w:lang w:val="zh-CN"/>
                    </w:rPr>
                    <w:t>排放工况</w:t>
                  </w:r>
                </w:p>
              </w:tc>
              <w:tc>
                <w:tcPr>
                  <w:tcW w:w="1449" w:type="dxa"/>
                  <w:gridSpan w:val="2"/>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lang w:val="zh-CN"/>
                    </w:rPr>
                  </w:pPr>
                  <w:r>
                    <w:rPr>
                      <w:rFonts w:hint="default" w:ascii="Times New Roman" w:hAnsi="Times New Roman" w:eastAsia="宋体" w:cs="Times New Roman"/>
                      <w:b/>
                      <w:bCs/>
                      <w:sz w:val="21"/>
                      <w:szCs w:val="21"/>
                      <w:lang w:val="zh-CN"/>
                    </w:rPr>
                    <w:t>污染物排放速率</w:t>
                  </w:r>
                  <w:r>
                    <w:rPr>
                      <w:rFonts w:hint="default" w:ascii="Times New Roman" w:hAnsi="Times New Roman" w:eastAsia="宋体" w:cs="Times New Roman"/>
                      <w:b/>
                      <w:bCs/>
                      <w:sz w:val="21"/>
                      <w:szCs w:val="21"/>
                    </w:rPr>
                    <w:t>/kg/h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4" w:hRule="atLeast"/>
                <w:jc w:val="center"/>
              </w:trPr>
              <w:tc>
                <w:tcPr>
                  <w:tcW w:w="255" w:type="dxa"/>
                  <w:vMerge w:val="continue"/>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lang w:val="zh-CN"/>
                    </w:rPr>
                  </w:pPr>
                </w:p>
              </w:tc>
              <w:tc>
                <w:tcPr>
                  <w:tcW w:w="256" w:type="dxa"/>
                  <w:vMerge w:val="continue"/>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lang w:val="zh-CN"/>
                    </w:rPr>
                  </w:pPr>
                </w:p>
              </w:tc>
              <w:tc>
                <w:tcPr>
                  <w:tcW w:w="15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lang w:val="zh-CN"/>
                    </w:rPr>
                  </w:pPr>
                  <w:r>
                    <w:rPr>
                      <w:rFonts w:hint="default" w:ascii="Times New Roman" w:hAnsi="Times New Roman" w:eastAsia="宋体" w:cs="Times New Roman"/>
                      <w:b/>
                      <w:bCs/>
                      <w:sz w:val="21"/>
                      <w:szCs w:val="21"/>
                    </w:rPr>
                    <w:t>X</w:t>
                  </w:r>
                </w:p>
              </w:tc>
              <w:tc>
                <w:tcPr>
                  <w:tcW w:w="1441"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lang w:val="zh-CN"/>
                    </w:rPr>
                  </w:pPr>
                  <w:r>
                    <w:rPr>
                      <w:rFonts w:hint="default" w:ascii="Times New Roman" w:hAnsi="Times New Roman" w:eastAsia="宋体" w:cs="Times New Roman"/>
                      <w:b/>
                      <w:bCs/>
                      <w:sz w:val="21"/>
                      <w:szCs w:val="21"/>
                    </w:rPr>
                    <w:t>Y</w:t>
                  </w:r>
                </w:p>
              </w:tc>
              <w:tc>
                <w:tcPr>
                  <w:tcW w:w="548" w:type="dxa"/>
                  <w:vMerge w:val="continue"/>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rPr>
                  </w:pPr>
                </w:p>
              </w:tc>
              <w:tc>
                <w:tcPr>
                  <w:tcW w:w="573" w:type="dxa"/>
                  <w:vMerge w:val="continue"/>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rPr>
                  </w:pPr>
                </w:p>
              </w:tc>
              <w:tc>
                <w:tcPr>
                  <w:tcW w:w="424" w:type="dxa"/>
                  <w:vMerge w:val="continue"/>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rPr>
                  </w:pPr>
                </w:p>
              </w:tc>
              <w:tc>
                <w:tcPr>
                  <w:tcW w:w="482" w:type="dxa"/>
                  <w:vMerge w:val="continue"/>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rPr>
                  </w:pPr>
                </w:p>
              </w:tc>
              <w:tc>
                <w:tcPr>
                  <w:tcW w:w="571" w:type="dxa"/>
                  <w:vMerge w:val="continue"/>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rPr>
                  </w:pPr>
                </w:p>
              </w:tc>
              <w:tc>
                <w:tcPr>
                  <w:tcW w:w="611" w:type="dxa"/>
                  <w:vMerge w:val="continue"/>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rPr>
                  </w:pPr>
                </w:p>
              </w:tc>
              <w:tc>
                <w:tcPr>
                  <w:tcW w:w="339" w:type="dxa"/>
                  <w:vMerge w:val="continue"/>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rPr>
                  </w:pPr>
                </w:p>
              </w:tc>
              <w:tc>
                <w:tcPr>
                  <w:tcW w:w="749"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NH</w:t>
                  </w:r>
                  <w:r>
                    <w:rPr>
                      <w:rFonts w:hint="default" w:ascii="Times New Roman" w:hAnsi="Times New Roman" w:eastAsia="宋体" w:cs="Times New Roman"/>
                      <w:b/>
                      <w:bCs/>
                      <w:sz w:val="21"/>
                      <w:szCs w:val="21"/>
                      <w:vertAlign w:val="subscript"/>
                    </w:rPr>
                    <w:t>3</w:t>
                  </w:r>
                </w:p>
              </w:tc>
              <w:tc>
                <w:tcPr>
                  <w:tcW w:w="700"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H</w:t>
                  </w:r>
                  <w:r>
                    <w:rPr>
                      <w:rFonts w:hint="default" w:ascii="Times New Roman" w:hAnsi="Times New Roman" w:eastAsia="宋体" w:cs="Times New Roman"/>
                      <w:b/>
                      <w:bCs/>
                      <w:sz w:val="21"/>
                      <w:szCs w:val="21"/>
                      <w:vertAlign w:val="subscript"/>
                    </w:rPr>
                    <w:t>2</w:t>
                  </w:r>
                  <w:r>
                    <w:rPr>
                      <w:rFonts w:hint="default" w:ascii="Times New Roman" w:hAnsi="Times New Roman" w:eastAsia="宋体" w:cs="Times New Roman"/>
                      <w:b/>
                      <w:bCs/>
                      <w:sz w:val="21"/>
                      <w:szCs w:val="21"/>
                    </w:rPr>
                    <w: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93" w:hRule="atLeast"/>
                <w:jc w:val="center"/>
              </w:trPr>
              <w:tc>
                <w:tcPr>
                  <w:tcW w:w="255"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5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污水处理站</w:t>
                  </w:r>
                </w:p>
              </w:tc>
              <w:tc>
                <w:tcPr>
                  <w:tcW w:w="1546"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117°18′45.71″</w:t>
                  </w:r>
                </w:p>
              </w:tc>
              <w:tc>
                <w:tcPr>
                  <w:tcW w:w="1441"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40°17′4.71″</w:t>
                  </w:r>
                </w:p>
              </w:tc>
              <w:tc>
                <w:tcPr>
                  <w:tcW w:w="548"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257</w:t>
                  </w:r>
                </w:p>
              </w:tc>
              <w:tc>
                <w:tcPr>
                  <w:tcW w:w="573"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22.98</w:t>
                  </w:r>
                </w:p>
              </w:tc>
              <w:tc>
                <w:tcPr>
                  <w:tcW w:w="424"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5.6</w:t>
                  </w:r>
                </w:p>
              </w:tc>
              <w:tc>
                <w:tcPr>
                  <w:tcW w:w="482"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90</w:t>
                  </w:r>
                </w:p>
              </w:tc>
              <w:tc>
                <w:tcPr>
                  <w:tcW w:w="571"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w:t>
                  </w:r>
                </w:p>
              </w:tc>
              <w:tc>
                <w:tcPr>
                  <w:tcW w:w="611"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8760</w:t>
                  </w:r>
                </w:p>
              </w:tc>
              <w:tc>
                <w:tcPr>
                  <w:tcW w:w="339"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正常工况</w:t>
                  </w:r>
                </w:p>
              </w:tc>
              <w:tc>
                <w:tcPr>
                  <w:tcW w:w="749"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0.000084</w:t>
                  </w:r>
                </w:p>
              </w:tc>
              <w:tc>
                <w:tcPr>
                  <w:tcW w:w="700"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0.0000125</w:t>
                  </w:r>
                </w:p>
              </w:tc>
            </w:tr>
          </w:tbl>
          <w:p>
            <w:pPr>
              <w:bidi w:val="0"/>
              <w:jc w:val="center"/>
              <w:rPr>
                <w:rFonts w:hint="default"/>
                <w:b/>
                <w:bCs/>
                <w:sz w:val="21"/>
                <w:szCs w:val="21"/>
                <w:lang w:eastAsia="zh-CN"/>
              </w:rPr>
            </w:pPr>
            <w:r>
              <w:rPr>
                <w:rFonts w:hint="default"/>
                <w:b/>
                <w:bCs/>
                <w:sz w:val="21"/>
                <w:szCs w:val="21"/>
              </w:rPr>
              <w:t>表</w:t>
            </w:r>
            <w:r>
              <w:rPr>
                <w:rFonts w:hint="eastAsia"/>
                <w:b/>
                <w:bCs/>
                <w:sz w:val="21"/>
                <w:szCs w:val="21"/>
                <w:lang w:val="en-US" w:eastAsia="zh-CN"/>
              </w:rPr>
              <w:t>4-6</w:t>
            </w:r>
            <w:r>
              <w:rPr>
                <w:rFonts w:hint="default"/>
                <w:b/>
                <w:bCs/>
                <w:sz w:val="21"/>
                <w:szCs w:val="21"/>
                <w:lang w:val="en-US" w:eastAsia="zh-CN"/>
              </w:rPr>
              <w:t xml:space="preserve">  </w:t>
            </w:r>
            <w:r>
              <w:rPr>
                <w:rFonts w:hint="default"/>
                <w:b/>
                <w:bCs/>
                <w:sz w:val="21"/>
                <w:szCs w:val="21"/>
              </w:rPr>
              <w:t>主要污染源估算模型计算结果</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74"/>
              <w:gridCol w:w="1887"/>
              <w:gridCol w:w="874"/>
              <w:gridCol w:w="1887"/>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5" w:hRule="atLeast"/>
                <w:jc w:val="center"/>
              </w:trPr>
              <w:tc>
                <w:tcPr>
                  <w:tcW w:w="0" w:type="auto"/>
                  <w:vMerge w:val="restart"/>
                  <w:tcBorders>
                    <w:tl2br w:val="nil"/>
                    <w:tr2bl w:val="nil"/>
                  </w:tcBorders>
                  <w:noWrap w:val="0"/>
                  <w:vAlign w:val="center"/>
                </w:tcPr>
                <w:p>
                  <w:pPr>
                    <w:keepNext w:val="0"/>
                    <w:keepLines w:val="0"/>
                    <w:pageBreakBefore w:val="0"/>
                    <w:tabs>
                      <w:tab w:val="left" w:pos="0"/>
                    </w:tabs>
                    <w:kinsoku/>
                    <w:wordWrap/>
                    <w:overflowPunct/>
                    <w:topLinePunct w:val="0"/>
                    <w:bidi w:val="0"/>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下风向距离/m</w:t>
                  </w:r>
                </w:p>
              </w:tc>
              <w:tc>
                <w:tcPr>
                  <w:tcW w:w="0" w:type="auto"/>
                  <w:gridSpan w:val="4"/>
                  <w:tcBorders>
                    <w:tl2br w:val="nil"/>
                    <w:tr2bl w:val="nil"/>
                  </w:tcBorders>
                  <w:noWrap w:val="0"/>
                  <w:vAlign w:val="center"/>
                </w:tcPr>
                <w:p>
                  <w:pPr>
                    <w:keepNext w:val="0"/>
                    <w:keepLines w:val="0"/>
                    <w:pageBreakBefore w:val="0"/>
                    <w:tabs>
                      <w:tab w:val="left" w:pos="0"/>
                    </w:tabs>
                    <w:kinsoku/>
                    <w:wordWrap/>
                    <w:overflowPunct/>
                    <w:topLinePunct w:val="0"/>
                    <w:bidi w:val="0"/>
                    <w:adjustRightInd w:val="0"/>
                    <w:snapToGrid w:val="0"/>
                    <w:spacing w:line="240" w:lineRule="auto"/>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面</w:t>
                  </w:r>
                  <w:r>
                    <w:rPr>
                      <w:rFonts w:hint="default" w:ascii="Times New Roman" w:hAnsi="Times New Roman" w:eastAsia="宋体" w:cs="Times New Roman"/>
                      <w:b/>
                      <w:bCs/>
                      <w:sz w:val="21"/>
                      <w:szCs w:val="21"/>
                    </w:rPr>
                    <w:t>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5" w:hRule="atLeast"/>
                <w:jc w:val="center"/>
              </w:trPr>
              <w:tc>
                <w:tcPr>
                  <w:tcW w:w="0" w:type="auto"/>
                  <w:vMerge w:val="continue"/>
                  <w:tcBorders>
                    <w:tl2br w:val="nil"/>
                    <w:tr2bl w:val="nil"/>
                  </w:tcBorders>
                  <w:noWrap w:val="0"/>
                  <w:vAlign w:val="center"/>
                </w:tcPr>
                <w:p>
                  <w:pPr>
                    <w:keepNext w:val="0"/>
                    <w:keepLines w:val="0"/>
                    <w:pageBreakBefore w:val="0"/>
                    <w:tabs>
                      <w:tab w:val="left" w:pos="0"/>
                    </w:tabs>
                    <w:kinsoku/>
                    <w:wordWrap/>
                    <w:overflowPunct/>
                    <w:topLinePunct w:val="0"/>
                    <w:bidi w:val="0"/>
                    <w:adjustRightInd w:val="0"/>
                    <w:snapToGrid w:val="0"/>
                    <w:spacing w:line="240" w:lineRule="auto"/>
                    <w:jc w:val="center"/>
                    <w:rPr>
                      <w:rFonts w:hint="default" w:ascii="Times New Roman" w:hAnsi="Times New Roman" w:eastAsia="宋体" w:cs="Times New Roman"/>
                      <w:sz w:val="21"/>
                      <w:szCs w:val="21"/>
                    </w:rPr>
                  </w:pPr>
                </w:p>
              </w:tc>
              <w:tc>
                <w:tcPr>
                  <w:tcW w:w="0" w:type="auto"/>
                  <w:gridSpan w:val="4"/>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8" w:hRule="atLeast"/>
                <w:jc w:val="center"/>
              </w:trPr>
              <w:tc>
                <w:tcPr>
                  <w:tcW w:w="0" w:type="auto"/>
                  <w:vMerge w:val="continue"/>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0" w:type="auto"/>
                  <w:gridSpan w:val="2"/>
                  <w:tcBorders>
                    <w:tl2br w:val="nil"/>
                    <w:tr2bl w:val="nil"/>
                  </w:tcBorders>
                  <w:noWrap w:val="0"/>
                  <w:vAlign w:val="center"/>
                </w:tcPr>
                <w:p>
                  <w:pPr>
                    <w:keepNext w:val="0"/>
                    <w:keepLines w:val="0"/>
                    <w:pageBreakBefore w:val="0"/>
                    <w:tabs>
                      <w:tab w:val="left" w:pos="0"/>
                    </w:tabs>
                    <w:kinsoku/>
                    <w:wordWrap/>
                    <w:overflowPunct/>
                    <w:topLinePunct w:val="0"/>
                    <w:autoSpaceDE w:val="0"/>
                    <w:autoSpaceDN w:val="0"/>
                    <w:bidi w:val="0"/>
                    <w:adjustRightInd w:val="0"/>
                    <w:spacing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NH</w:t>
                  </w:r>
                  <w:r>
                    <w:rPr>
                      <w:rFonts w:hint="default" w:ascii="Times New Roman" w:hAnsi="Times New Roman" w:eastAsia="宋体" w:cs="Times New Roman"/>
                      <w:sz w:val="21"/>
                      <w:szCs w:val="21"/>
                      <w:vertAlign w:val="subscript"/>
                    </w:rPr>
                    <w:t>3</w:t>
                  </w:r>
                </w:p>
              </w:tc>
              <w:tc>
                <w:tcPr>
                  <w:tcW w:w="0" w:type="auto"/>
                  <w:gridSpan w:val="2"/>
                  <w:tcBorders>
                    <w:tl2br w:val="nil"/>
                    <w:tr2bl w:val="nil"/>
                  </w:tcBorders>
                  <w:noWrap w:val="0"/>
                  <w:vAlign w:val="center"/>
                </w:tcPr>
                <w:p>
                  <w:pPr>
                    <w:keepNext w:val="0"/>
                    <w:keepLines w:val="0"/>
                    <w:pageBreakBefore w:val="0"/>
                    <w:tabs>
                      <w:tab w:val="left" w:pos="0"/>
                    </w:tabs>
                    <w:kinsoku/>
                    <w:wordWrap/>
                    <w:overflowPunct/>
                    <w:topLinePunct w:val="0"/>
                    <w:autoSpaceDE w:val="0"/>
                    <w:autoSpaceDN w:val="0"/>
                    <w:bidi w:val="0"/>
                    <w:adjustRightInd w:val="0"/>
                    <w:spacing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0" w:type="auto"/>
                  <w:vMerge w:val="continue"/>
                  <w:tcBorders>
                    <w:tl2br w:val="nil"/>
                    <w:tr2bl w:val="nil"/>
                  </w:tcBorders>
                  <w:noWrap w:val="0"/>
                  <w:vAlign w:val="center"/>
                </w:tcPr>
                <w:p>
                  <w:pPr>
                    <w:keepNext w:val="0"/>
                    <w:keepLines w:val="0"/>
                    <w:pageBreakBefore w:val="0"/>
                    <w:tabs>
                      <w:tab w:val="left" w:pos="0"/>
                    </w:tabs>
                    <w:kinsoku/>
                    <w:wordWrap/>
                    <w:overflowPunct/>
                    <w:topLinePunct w:val="0"/>
                    <w:bidi w:val="0"/>
                    <w:adjustRightInd w:val="0"/>
                    <w:snapToGrid w:val="0"/>
                    <w:spacing w:line="240" w:lineRule="auto"/>
                    <w:jc w:val="center"/>
                    <w:rPr>
                      <w:rFonts w:hint="default" w:ascii="Times New Roman" w:hAnsi="Times New Roman" w:eastAsia="宋体" w:cs="Times New Roman"/>
                      <w:sz w:val="21"/>
                      <w:szCs w:val="21"/>
                    </w:rPr>
                  </w:pPr>
                </w:p>
              </w:tc>
              <w:tc>
                <w:tcPr>
                  <w:tcW w:w="0" w:type="auto"/>
                  <w:tcBorders>
                    <w:tl2br w:val="nil"/>
                    <w:tr2bl w:val="nil"/>
                  </w:tcBorders>
                  <w:noWrap w:val="0"/>
                  <w:vAlign w:val="center"/>
                </w:tcPr>
                <w:p>
                  <w:pPr>
                    <w:keepNext w:val="0"/>
                    <w:keepLines w:val="0"/>
                    <w:pageBreakBefore w:val="0"/>
                    <w:tabs>
                      <w:tab w:val="left" w:pos="0"/>
                    </w:tabs>
                    <w:kinsoku/>
                    <w:wordWrap/>
                    <w:overflowPunct/>
                    <w:topLinePunct w:val="0"/>
                    <w:autoSpaceDE w:val="0"/>
                    <w:autoSpaceDN w:val="0"/>
                    <w:bidi w:val="0"/>
                    <w:adjustRightIn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预测质量浓度/</w:t>
                  </w:r>
                  <w:r>
                    <w:rPr>
                      <w:rFonts w:hint="default" w:ascii="Times New Roman" w:hAnsi="Times New Roman" w:eastAsia="宋体" w:cs="Times New Roman"/>
                      <w:sz w:val="21"/>
                      <w:szCs w:val="21"/>
                      <w:lang w:val="en-US" w:eastAsia="zh-CN"/>
                    </w:rPr>
                    <w:t>m</w:t>
                  </w:r>
                  <w:r>
                    <w:rPr>
                      <w:rFonts w:hint="default" w:ascii="Times New Roman" w:hAnsi="Times New Roman" w:eastAsia="宋体" w:cs="Times New Roman"/>
                      <w:sz w:val="21"/>
                      <w:szCs w:val="21"/>
                    </w:rPr>
                    <w:t>g/m</w:t>
                  </w:r>
                  <w:r>
                    <w:rPr>
                      <w:rFonts w:hint="default" w:ascii="Times New Roman" w:hAnsi="Times New Roman" w:eastAsia="宋体" w:cs="Times New Roman"/>
                      <w:sz w:val="21"/>
                      <w:szCs w:val="21"/>
                      <w:vertAlign w:val="superscript"/>
                    </w:rPr>
                    <w:t>3</w:t>
                  </w:r>
                </w:p>
              </w:tc>
              <w:tc>
                <w:tcPr>
                  <w:tcW w:w="0" w:type="auto"/>
                  <w:tcBorders>
                    <w:tl2br w:val="nil"/>
                    <w:tr2bl w:val="nil"/>
                  </w:tcBorders>
                  <w:noWrap w:val="0"/>
                  <w:vAlign w:val="center"/>
                </w:tcPr>
                <w:p>
                  <w:pPr>
                    <w:keepNext w:val="0"/>
                    <w:keepLines w:val="0"/>
                    <w:pageBreakBefore w:val="0"/>
                    <w:tabs>
                      <w:tab w:val="left" w:pos="0"/>
                    </w:tabs>
                    <w:kinsoku/>
                    <w:wordWrap/>
                    <w:overflowPunct/>
                    <w:topLinePunct w:val="0"/>
                    <w:autoSpaceDE w:val="0"/>
                    <w:autoSpaceDN w:val="0"/>
                    <w:bidi w:val="0"/>
                    <w:adjustRightIn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占标率/%</w:t>
                  </w:r>
                </w:p>
              </w:tc>
              <w:tc>
                <w:tcPr>
                  <w:tcW w:w="0" w:type="auto"/>
                  <w:tcBorders>
                    <w:tl2br w:val="nil"/>
                    <w:tr2bl w:val="nil"/>
                  </w:tcBorders>
                  <w:noWrap w:val="0"/>
                  <w:vAlign w:val="center"/>
                </w:tcPr>
                <w:p>
                  <w:pPr>
                    <w:keepNext w:val="0"/>
                    <w:keepLines w:val="0"/>
                    <w:pageBreakBefore w:val="0"/>
                    <w:tabs>
                      <w:tab w:val="left" w:pos="0"/>
                    </w:tabs>
                    <w:kinsoku/>
                    <w:wordWrap/>
                    <w:overflowPunct/>
                    <w:topLinePunct w:val="0"/>
                    <w:autoSpaceDE w:val="0"/>
                    <w:autoSpaceDN w:val="0"/>
                    <w:bidi w:val="0"/>
                    <w:adjustRightInd w:val="0"/>
                    <w:spacing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预测质量浓度/</w:t>
                  </w:r>
                  <w:r>
                    <w:rPr>
                      <w:rFonts w:hint="default" w:ascii="Times New Roman" w:hAnsi="Times New Roman" w:eastAsia="宋体" w:cs="Times New Roman"/>
                      <w:sz w:val="21"/>
                      <w:szCs w:val="21"/>
                      <w:lang w:val="en-US" w:eastAsia="zh-CN"/>
                    </w:rPr>
                    <w:t>m</w:t>
                  </w:r>
                  <w:r>
                    <w:rPr>
                      <w:rFonts w:hint="default" w:ascii="Times New Roman" w:hAnsi="Times New Roman" w:eastAsia="宋体" w:cs="Times New Roman"/>
                      <w:sz w:val="21"/>
                      <w:szCs w:val="21"/>
                    </w:rPr>
                    <w:t>g/m</w:t>
                  </w:r>
                  <w:r>
                    <w:rPr>
                      <w:rFonts w:hint="default" w:ascii="Times New Roman" w:hAnsi="Times New Roman" w:eastAsia="宋体" w:cs="Times New Roman"/>
                      <w:sz w:val="21"/>
                      <w:szCs w:val="21"/>
                      <w:vertAlign w:val="superscript"/>
                    </w:rPr>
                    <w:t>3</w:t>
                  </w:r>
                </w:p>
              </w:tc>
              <w:tc>
                <w:tcPr>
                  <w:tcW w:w="0" w:type="auto"/>
                  <w:tcBorders>
                    <w:tl2br w:val="nil"/>
                    <w:tr2bl w:val="nil"/>
                  </w:tcBorders>
                  <w:noWrap w:val="0"/>
                  <w:vAlign w:val="center"/>
                </w:tcPr>
                <w:p>
                  <w:pPr>
                    <w:keepNext w:val="0"/>
                    <w:keepLines w:val="0"/>
                    <w:pageBreakBefore w:val="0"/>
                    <w:tabs>
                      <w:tab w:val="left" w:pos="0"/>
                    </w:tabs>
                    <w:kinsoku/>
                    <w:wordWrap/>
                    <w:overflowPunct/>
                    <w:topLinePunct w:val="0"/>
                    <w:autoSpaceDE w:val="0"/>
                    <w:autoSpaceDN w:val="0"/>
                    <w:bidi w:val="0"/>
                    <w:adjustRightInd w:val="0"/>
                    <w:spacing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0.001027</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0.51</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0.000153</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0.001201</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0.6</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0.000179</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12" w:hRule="atLeast"/>
                <w:jc w:val="center"/>
              </w:trPr>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0.001102</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0.55</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0.000164</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12" w:hRule="atLeast"/>
                <w:jc w:val="center"/>
              </w:trPr>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0.000656</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0.33</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0.000098</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12" w:hRule="atLeast"/>
                <w:jc w:val="center"/>
              </w:trPr>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0.000424</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0.21</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0.000063</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12" w:hRule="atLeast"/>
                <w:jc w:val="center"/>
              </w:trPr>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0.000301</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0.15</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0.000045</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12" w:hRule="atLeast"/>
                <w:jc w:val="center"/>
              </w:trPr>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0.000125</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0.000019</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12" w:hRule="atLeast"/>
                <w:jc w:val="center"/>
              </w:trPr>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0.000073</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0.000011</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12" w:hRule="atLeast"/>
                <w:jc w:val="center"/>
              </w:trPr>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0.00005</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0.000007</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12" w:hRule="atLeast"/>
                <w:jc w:val="center"/>
              </w:trPr>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0.000037</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0.000005</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41" w:hRule="atLeast"/>
                <w:jc w:val="center"/>
              </w:trPr>
              <w:tc>
                <w:tcPr>
                  <w:tcW w:w="0" w:type="auto"/>
                  <w:tcBorders>
                    <w:tl2br w:val="nil"/>
                    <w:tr2bl w:val="nil"/>
                  </w:tcBorders>
                  <w:noWrap w:val="0"/>
                  <w:vAlign w:val="center"/>
                </w:tcPr>
                <w:p>
                  <w:pPr>
                    <w:keepNext w:val="0"/>
                    <w:keepLines w:val="0"/>
                    <w:pageBreakBefore w:val="0"/>
                    <w:tabs>
                      <w:tab w:val="left" w:pos="0"/>
                    </w:tabs>
                    <w:kinsoku/>
                    <w:wordWrap/>
                    <w:overflowPunct/>
                    <w:topLinePunct w:val="0"/>
                    <w:bidi w:val="0"/>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下风向最大质量浓度及占标率/%</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0.001201</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0.6</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0.000179</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35" w:hRule="atLeast"/>
                <w:jc w:val="center"/>
              </w:trPr>
              <w:tc>
                <w:tcPr>
                  <w:tcW w:w="0" w:type="auto"/>
                  <w:tcBorders>
                    <w:tl2br w:val="nil"/>
                    <w:tr2bl w:val="nil"/>
                  </w:tcBorders>
                  <w:noWrap w:val="0"/>
                  <w:vAlign w:val="center"/>
                </w:tcPr>
                <w:p>
                  <w:pPr>
                    <w:keepNext w:val="0"/>
                    <w:keepLines w:val="0"/>
                    <w:pageBreakBefore w:val="0"/>
                    <w:tabs>
                      <w:tab w:val="left" w:pos="0"/>
                    </w:tabs>
                    <w:kinsoku/>
                    <w:wordWrap/>
                    <w:overflowPunct/>
                    <w:topLinePunct w:val="0"/>
                    <w:bidi w:val="0"/>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D10%最远距离/m</w:t>
                  </w:r>
                </w:p>
              </w:tc>
              <w:tc>
                <w:tcPr>
                  <w:tcW w:w="0" w:type="auto"/>
                  <w:gridSpan w:val="4"/>
                  <w:tcBorders>
                    <w:tl2br w:val="nil"/>
                    <w:tr2bl w:val="nil"/>
                  </w:tcBorders>
                  <w:noWrap w:val="0"/>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w:t>
                  </w:r>
                </w:p>
              </w:tc>
            </w:tr>
          </w:tbl>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由上表可知，本项目无组织排放的氨气最大地面落地浓度0.001201mg/m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，硫化氢最大地面落地浓度0.000179mg/m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，可满足</w:t>
            </w:r>
            <w:r>
              <w:rPr>
                <w:rFonts w:hint="default" w:ascii="Times New Roman" w:hAnsi="Times New Roman" w:eastAsia="宋体" w:cs="Times New Roman"/>
              </w:rPr>
              <w:t>《城镇污水处理厂污染物排放标准》（GB18918-2002）及其修改单表4二级标准要求</w:t>
            </w:r>
            <w:r>
              <w:rPr>
                <w:rFonts w:hint="default" w:ascii="Times New Roman" w:hAnsi="Times New Roman" w:eastAsia="宋体" w:cs="Times New Roman"/>
                <w:lang w:eastAsia="zh-CN"/>
              </w:rPr>
              <w:t>：</w:t>
            </w:r>
            <w:r>
              <w:rPr>
                <w:rFonts w:hint="default" w:ascii="Times New Roman" w:hAnsi="Times New Roman" w:eastAsia="宋体" w:cs="Times New Roman"/>
                <w:lang w:val="zh-CN"/>
              </w:rPr>
              <w:t>氨气</w:t>
            </w:r>
            <w:r>
              <w:rPr>
                <w:rFonts w:hint="default" w:ascii="Times New Roman" w:hAnsi="Times New Roman" w:eastAsia="宋体" w:cs="Times New Roman"/>
                <w:lang w:val="en-US" w:eastAsia="zh-CN"/>
              </w:rPr>
              <w:t>1.5mg/m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，硫化氢.0.06mg/m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，实现达标排放。</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1.7污染物排放口基本情况</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default" w:ascii="Times New Roman" w:hAnsi="Times New Roman" w:eastAsia="宋体" w:cs="Times New Roman"/>
                <w:b/>
                <w:bCs/>
                <w:sz w:val="21"/>
                <w:szCs w:val="21"/>
                <w:lang w:val="en-US" w:eastAsia="zh-CN"/>
              </w:rPr>
              <w:t>4-</w:t>
            </w:r>
            <w:r>
              <w:rPr>
                <w:rFonts w:hint="eastAsia" w:ascii="Times New Roman" w:hAnsi="Times New Roman" w:eastAsia="宋体" w:cs="Times New Roman"/>
                <w:b/>
                <w:bCs/>
                <w:sz w:val="21"/>
                <w:szCs w:val="21"/>
                <w:lang w:val="en-US" w:eastAsia="zh-CN"/>
              </w:rPr>
              <w:t>7</w:t>
            </w:r>
            <w:r>
              <w:rPr>
                <w:rFonts w:hint="default" w:ascii="Times New Roman" w:hAnsi="Times New Roman" w:eastAsia="宋体" w:cs="Times New Roman"/>
                <w:b/>
                <w:bCs/>
                <w:sz w:val="21"/>
                <w:szCs w:val="21"/>
              </w:rPr>
              <w:t xml:space="preserve">   </w:t>
            </w:r>
            <w:r>
              <w:rPr>
                <w:rFonts w:hint="default" w:ascii="Times New Roman" w:hAnsi="Times New Roman" w:eastAsia="宋体" w:cs="Times New Roman"/>
                <w:b/>
                <w:bCs/>
                <w:sz w:val="21"/>
                <w:szCs w:val="21"/>
                <w:lang w:eastAsia="zh-CN"/>
              </w:rPr>
              <w:t>本项目无组织排放基本情况</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1431"/>
              <w:gridCol w:w="1221"/>
              <w:gridCol w:w="735"/>
              <w:gridCol w:w="740"/>
              <w:gridCol w:w="696"/>
              <w:gridCol w:w="842"/>
              <w:gridCol w:w="2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1" w:hRule="atLeast"/>
                <w:jc w:val="center"/>
              </w:trPr>
              <w:tc>
                <w:tcPr>
                  <w:tcW w:w="571" w:type="pct"/>
                  <w:vMerge w:val="restart"/>
                  <w:vAlign w:val="center"/>
                </w:tcPr>
                <w:p>
                  <w:pPr>
                    <w:pStyle w:val="20"/>
                    <w:keepNext w:val="0"/>
                    <w:keepLines w:val="0"/>
                    <w:pageBreakBefore w:val="0"/>
                    <w:widowControl w:val="0"/>
                    <w:numPr>
                      <w:ilvl w:val="0"/>
                      <w:numId w:val="0"/>
                    </w:numPr>
                    <w:kinsoku/>
                    <w:wordWrap/>
                    <w:overflowPunct/>
                    <w:topLinePunct w:val="0"/>
                    <w:bidi w:val="0"/>
                    <w:snapToGrid/>
                    <w:spacing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排放源</w:t>
                  </w:r>
                </w:p>
              </w:tc>
              <w:tc>
                <w:tcPr>
                  <w:tcW w:w="1042" w:type="pct"/>
                  <w:gridSpan w:val="2"/>
                  <w:vAlign w:val="center"/>
                </w:tcPr>
                <w:p>
                  <w:pPr>
                    <w:pStyle w:val="20"/>
                    <w:keepNext w:val="0"/>
                    <w:keepLines w:val="0"/>
                    <w:pageBreakBefore w:val="0"/>
                    <w:widowControl w:val="0"/>
                    <w:numPr>
                      <w:ilvl w:val="0"/>
                      <w:numId w:val="0"/>
                    </w:numPr>
                    <w:kinsoku/>
                    <w:wordWrap/>
                    <w:overflowPunct/>
                    <w:topLinePunct w:val="0"/>
                    <w:bidi w:val="0"/>
                    <w:snapToGrid/>
                    <w:spacing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面源起点坐标</w:t>
                  </w:r>
                </w:p>
              </w:tc>
              <w:tc>
                <w:tcPr>
                  <w:tcW w:w="497" w:type="pct"/>
                  <w:vMerge w:val="restart"/>
                  <w:vAlign w:val="center"/>
                </w:tcPr>
                <w:p>
                  <w:pPr>
                    <w:pStyle w:val="20"/>
                    <w:keepNext w:val="0"/>
                    <w:keepLines w:val="0"/>
                    <w:pageBreakBefore w:val="0"/>
                    <w:widowControl w:val="0"/>
                    <w:numPr>
                      <w:ilvl w:val="0"/>
                      <w:numId w:val="0"/>
                    </w:numPr>
                    <w:kinsoku/>
                    <w:wordWrap/>
                    <w:overflowPunct/>
                    <w:topLinePunct w:val="0"/>
                    <w:bidi w:val="0"/>
                    <w:snapToGrid/>
                    <w:spacing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面源长度/m</w:t>
                  </w:r>
                </w:p>
              </w:tc>
              <w:tc>
                <w:tcPr>
                  <w:tcW w:w="500" w:type="pct"/>
                  <w:vMerge w:val="restart"/>
                  <w:vAlign w:val="center"/>
                </w:tcPr>
                <w:p>
                  <w:pPr>
                    <w:pStyle w:val="20"/>
                    <w:keepNext w:val="0"/>
                    <w:keepLines w:val="0"/>
                    <w:pageBreakBefore w:val="0"/>
                    <w:widowControl w:val="0"/>
                    <w:numPr>
                      <w:ilvl w:val="0"/>
                      <w:numId w:val="0"/>
                    </w:numPr>
                    <w:kinsoku/>
                    <w:wordWrap/>
                    <w:overflowPunct/>
                    <w:topLinePunct w:val="0"/>
                    <w:bidi w:val="0"/>
                    <w:snapToGrid/>
                    <w:spacing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面源宽度/m</w:t>
                  </w:r>
                </w:p>
              </w:tc>
              <w:tc>
                <w:tcPr>
                  <w:tcW w:w="475" w:type="pct"/>
                  <w:vMerge w:val="restart"/>
                  <w:vAlign w:val="center"/>
                </w:tcPr>
                <w:p>
                  <w:pPr>
                    <w:pStyle w:val="20"/>
                    <w:keepNext w:val="0"/>
                    <w:keepLines w:val="0"/>
                    <w:pageBreakBefore w:val="0"/>
                    <w:widowControl w:val="0"/>
                    <w:numPr>
                      <w:ilvl w:val="0"/>
                      <w:numId w:val="0"/>
                    </w:numPr>
                    <w:kinsoku/>
                    <w:wordWrap/>
                    <w:overflowPunct/>
                    <w:topLinePunct w:val="0"/>
                    <w:bidi w:val="0"/>
                    <w:snapToGrid/>
                    <w:spacing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类型</w:t>
                  </w:r>
                </w:p>
              </w:tc>
              <w:tc>
                <w:tcPr>
                  <w:tcW w:w="558" w:type="pct"/>
                  <w:vMerge w:val="restart"/>
                  <w:vAlign w:val="center"/>
                </w:tcPr>
                <w:p>
                  <w:pPr>
                    <w:pStyle w:val="20"/>
                    <w:keepNext w:val="0"/>
                    <w:keepLines w:val="0"/>
                    <w:pageBreakBefore w:val="0"/>
                    <w:widowControl w:val="0"/>
                    <w:numPr>
                      <w:ilvl w:val="0"/>
                      <w:numId w:val="0"/>
                    </w:numPr>
                    <w:kinsoku/>
                    <w:wordWrap/>
                    <w:overflowPunct/>
                    <w:topLinePunct w:val="0"/>
                    <w:bidi w:val="0"/>
                    <w:snapToGrid/>
                    <w:spacing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排放污染物</w:t>
                  </w:r>
                </w:p>
              </w:tc>
              <w:tc>
                <w:tcPr>
                  <w:tcW w:w="1354" w:type="pct"/>
                  <w:vMerge w:val="restart"/>
                  <w:vAlign w:val="center"/>
                </w:tcPr>
                <w:p>
                  <w:pPr>
                    <w:pStyle w:val="20"/>
                    <w:keepNext w:val="0"/>
                    <w:keepLines w:val="0"/>
                    <w:pageBreakBefore w:val="0"/>
                    <w:widowControl w:val="0"/>
                    <w:numPr>
                      <w:ilvl w:val="0"/>
                      <w:numId w:val="0"/>
                    </w:numPr>
                    <w:kinsoku/>
                    <w:wordWrap/>
                    <w:overflowPunct/>
                    <w:topLinePunct w:val="0"/>
                    <w:bidi w:val="0"/>
                    <w:snapToGrid/>
                    <w:spacing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571" w:type="pct"/>
                  <w:vMerge w:val="continue"/>
                  <w:vAlign w:val="center"/>
                </w:tcPr>
                <w:p>
                  <w:pPr>
                    <w:pStyle w:val="20"/>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sz w:val="21"/>
                      <w:szCs w:val="21"/>
                    </w:rPr>
                  </w:pPr>
                </w:p>
              </w:tc>
              <w:tc>
                <w:tcPr>
                  <w:tcW w:w="585" w:type="pct"/>
                  <w:vAlign w:val="center"/>
                </w:tcPr>
                <w:p>
                  <w:pPr>
                    <w:pStyle w:val="20"/>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东经</w:t>
                  </w:r>
                </w:p>
              </w:tc>
              <w:tc>
                <w:tcPr>
                  <w:tcW w:w="457" w:type="pct"/>
                  <w:vAlign w:val="center"/>
                </w:tcPr>
                <w:p>
                  <w:pPr>
                    <w:pStyle w:val="20"/>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北纬</w:t>
                  </w:r>
                </w:p>
              </w:tc>
              <w:tc>
                <w:tcPr>
                  <w:tcW w:w="497" w:type="pct"/>
                  <w:vMerge w:val="continue"/>
                  <w:vAlign w:val="center"/>
                </w:tcPr>
                <w:p>
                  <w:pPr>
                    <w:pStyle w:val="20"/>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sz w:val="21"/>
                      <w:szCs w:val="21"/>
                      <w:lang w:val="en-US" w:eastAsia="zh-CN"/>
                    </w:rPr>
                  </w:pPr>
                </w:p>
              </w:tc>
              <w:tc>
                <w:tcPr>
                  <w:tcW w:w="500" w:type="pct"/>
                  <w:vMerge w:val="continue"/>
                  <w:vAlign w:val="center"/>
                </w:tcPr>
                <w:p>
                  <w:pPr>
                    <w:pStyle w:val="20"/>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sz w:val="21"/>
                      <w:szCs w:val="21"/>
                      <w:lang w:val="en-US" w:eastAsia="zh-CN"/>
                    </w:rPr>
                  </w:pPr>
                </w:p>
              </w:tc>
              <w:tc>
                <w:tcPr>
                  <w:tcW w:w="475" w:type="pct"/>
                  <w:vMerge w:val="continue"/>
                  <w:vAlign w:val="center"/>
                </w:tcPr>
                <w:p>
                  <w:pPr>
                    <w:pStyle w:val="20"/>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sz w:val="21"/>
                      <w:szCs w:val="21"/>
                      <w:lang w:val="en-US" w:eastAsia="zh-CN"/>
                    </w:rPr>
                  </w:pPr>
                </w:p>
              </w:tc>
              <w:tc>
                <w:tcPr>
                  <w:tcW w:w="558" w:type="pct"/>
                  <w:vMerge w:val="continue"/>
                  <w:vAlign w:val="center"/>
                </w:tcPr>
                <w:p>
                  <w:pPr>
                    <w:pStyle w:val="20"/>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sz w:val="21"/>
                      <w:szCs w:val="21"/>
                      <w:lang w:val="en-US" w:eastAsia="zh-CN"/>
                    </w:rPr>
                  </w:pPr>
                </w:p>
              </w:tc>
              <w:tc>
                <w:tcPr>
                  <w:tcW w:w="1354" w:type="pct"/>
                  <w:vMerge w:val="continue"/>
                  <w:vAlign w:val="center"/>
                </w:tcPr>
                <w:p>
                  <w:pPr>
                    <w:pStyle w:val="20"/>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jc w:val="center"/>
              </w:trPr>
              <w:tc>
                <w:tcPr>
                  <w:tcW w:w="571" w:type="pct"/>
                  <w:vAlign w:val="center"/>
                </w:tcPr>
                <w:p>
                  <w:pPr>
                    <w:pStyle w:val="20"/>
                    <w:keepNext w:val="0"/>
                    <w:keepLines w:val="0"/>
                    <w:pageBreakBefore w:val="0"/>
                    <w:widowControl w:val="0"/>
                    <w:numPr>
                      <w:ilvl w:val="0"/>
                      <w:numId w:val="0"/>
                    </w:numPr>
                    <w:kinsoku/>
                    <w:wordWrap/>
                    <w:overflowPunct/>
                    <w:topLinePunct w:val="0"/>
                    <w:bidi w:val="0"/>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污水处理站</w:t>
                  </w:r>
                </w:p>
              </w:tc>
              <w:tc>
                <w:tcPr>
                  <w:tcW w:w="2212" w:type="dxa"/>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117°18′45.71″</w:t>
                  </w:r>
                </w:p>
              </w:tc>
              <w:tc>
                <w:tcPr>
                  <w:tcW w:w="2104" w:type="dxa"/>
                  <w:vAlign w:val="center"/>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40°17′4.71″</w:t>
                  </w:r>
                </w:p>
              </w:tc>
              <w:tc>
                <w:tcPr>
                  <w:tcW w:w="497" w:type="pct"/>
                  <w:vAlign w:val="center"/>
                </w:tcPr>
                <w:p>
                  <w:pPr>
                    <w:pStyle w:val="20"/>
                    <w:keepNext w:val="0"/>
                    <w:keepLines w:val="0"/>
                    <w:pageBreakBefore w:val="0"/>
                    <w:widowControl w:val="0"/>
                    <w:numPr>
                      <w:ilvl w:val="0"/>
                      <w:numId w:val="0"/>
                    </w:numPr>
                    <w:kinsoku/>
                    <w:wordWrap/>
                    <w:overflowPunct/>
                    <w:topLinePunct w:val="0"/>
                    <w:bidi w:val="0"/>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22.98</w:t>
                  </w:r>
                </w:p>
              </w:tc>
              <w:tc>
                <w:tcPr>
                  <w:tcW w:w="500" w:type="pct"/>
                  <w:vAlign w:val="center"/>
                </w:tcPr>
                <w:p>
                  <w:pPr>
                    <w:pStyle w:val="20"/>
                    <w:keepNext w:val="0"/>
                    <w:keepLines w:val="0"/>
                    <w:pageBreakBefore w:val="0"/>
                    <w:widowControl w:val="0"/>
                    <w:numPr>
                      <w:ilvl w:val="0"/>
                      <w:numId w:val="0"/>
                    </w:numPr>
                    <w:kinsoku/>
                    <w:wordWrap/>
                    <w:overflowPunct/>
                    <w:topLinePunct w:val="0"/>
                    <w:bidi w:val="0"/>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5.6</w:t>
                  </w:r>
                </w:p>
              </w:tc>
              <w:tc>
                <w:tcPr>
                  <w:tcW w:w="475" w:type="pct"/>
                  <w:vAlign w:val="center"/>
                </w:tcPr>
                <w:p>
                  <w:pPr>
                    <w:pStyle w:val="20"/>
                    <w:keepNext w:val="0"/>
                    <w:keepLines w:val="0"/>
                    <w:pageBreakBefore w:val="0"/>
                    <w:widowControl w:val="0"/>
                    <w:numPr>
                      <w:ilvl w:val="0"/>
                      <w:numId w:val="0"/>
                    </w:numPr>
                    <w:kinsoku/>
                    <w:wordWrap/>
                    <w:overflowPunct/>
                    <w:topLinePunct w:val="0"/>
                    <w:bidi w:val="0"/>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无组织</w:t>
                  </w:r>
                </w:p>
              </w:tc>
              <w:tc>
                <w:tcPr>
                  <w:tcW w:w="558" w:type="pct"/>
                  <w:vAlign w:val="center"/>
                </w:tcPr>
                <w:p>
                  <w:pPr>
                    <w:pStyle w:val="20"/>
                    <w:keepNext w:val="0"/>
                    <w:keepLines w:val="0"/>
                    <w:pageBreakBefore w:val="0"/>
                    <w:widowControl w:val="0"/>
                    <w:numPr>
                      <w:ilvl w:val="0"/>
                      <w:numId w:val="0"/>
                    </w:numPr>
                    <w:kinsoku/>
                    <w:wordWrap/>
                    <w:overflowPunct/>
                    <w:topLinePunct w:val="0"/>
                    <w:bidi w:val="0"/>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S</w:t>
                  </w:r>
                </w:p>
              </w:tc>
              <w:tc>
                <w:tcPr>
                  <w:tcW w:w="1354"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《城镇污水处理厂污染物排放标准》（GB18918-2002）及其修改单表4二级标准要求</w:t>
                  </w:r>
                </w:p>
              </w:tc>
            </w:tr>
          </w:tbl>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1.8废气监测要求</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全厂废气监测要求如下。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default" w:ascii="Times New Roman" w:hAnsi="Times New Roman" w:eastAsia="宋体" w:cs="Times New Roman"/>
                <w:b/>
                <w:bCs/>
                <w:sz w:val="21"/>
                <w:szCs w:val="21"/>
                <w:lang w:val="en-US" w:eastAsia="zh-CN"/>
              </w:rPr>
              <w:t>4</w:t>
            </w:r>
            <w:r>
              <w:rPr>
                <w:rFonts w:hint="eastAsia" w:ascii="Times New Roman" w:hAnsi="Times New Roman" w:eastAsia="宋体" w:cs="Times New Roman"/>
                <w:b/>
                <w:bCs/>
                <w:sz w:val="21"/>
                <w:szCs w:val="21"/>
                <w:lang w:val="en-US" w:eastAsia="zh-CN"/>
              </w:rPr>
              <w:t>-8</w:t>
            </w:r>
            <w:r>
              <w:rPr>
                <w:rFonts w:hint="default" w:ascii="Times New Roman" w:hAnsi="Times New Roman" w:eastAsia="宋体" w:cs="Times New Roman"/>
                <w:b/>
                <w:bCs/>
                <w:sz w:val="21"/>
                <w:szCs w:val="21"/>
              </w:rPr>
              <w:t xml:space="preserve">   </w:t>
            </w:r>
            <w:r>
              <w:rPr>
                <w:rFonts w:hint="default" w:ascii="Times New Roman" w:hAnsi="Times New Roman" w:eastAsia="宋体" w:cs="Times New Roman"/>
                <w:b/>
                <w:bCs/>
                <w:sz w:val="21"/>
                <w:szCs w:val="21"/>
                <w:lang w:eastAsia="zh-CN"/>
              </w:rPr>
              <w:t>运营期废气监测计划一览表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03"/>
              <w:gridCol w:w="953"/>
              <w:gridCol w:w="893"/>
              <w:gridCol w:w="1854"/>
              <w:gridCol w:w="1225"/>
              <w:gridCol w:w="2189"/>
              <w:gridCol w:w="1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序号</w:t>
                  </w:r>
                </w:p>
              </w:tc>
              <w:tc>
                <w:tcPr>
                  <w:tcW w:w="5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项  目</w:t>
                  </w:r>
                </w:p>
              </w:tc>
              <w:tc>
                <w:tcPr>
                  <w:tcW w:w="156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监测环节</w:t>
                  </w:r>
                </w:p>
              </w:tc>
              <w:tc>
                <w:tcPr>
                  <w:tcW w:w="6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监测因子</w:t>
                  </w:r>
                </w:p>
              </w:tc>
              <w:tc>
                <w:tcPr>
                  <w:tcW w:w="1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取样位置</w:t>
                  </w:r>
                </w:p>
              </w:tc>
              <w:tc>
                <w:tcPr>
                  <w:tcW w:w="6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5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5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无组织</w:t>
                  </w:r>
                </w:p>
              </w:tc>
              <w:tc>
                <w:tcPr>
                  <w:tcW w:w="10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w:t>
                  </w:r>
                </w:p>
              </w:tc>
              <w:tc>
                <w:tcPr>
                  <w:tcW w:w="6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氨、硫化氢、臭气浓度</w:t>
                  </w:r>
                </w:p>
              </w:tc>
              <w:tc>
                <w:tcPr>
                  <w:tcW w:w="1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厂界外1m处</w:t>
                  </w:r>
                </w:p>
              </w:tc>
              <w:tc>
                <w:tcPr>
                  <w:tcW w:w="6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每年一次</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right="0" w:rightChars="0" w:firstLine="482" w:firstLineChars="200"/>
              <w:jc w:val="left"/>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2、废水</w:t>
            </w:r>
          </w:p>
          <w:p>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right="0" w:rightChars="0" w:firstLine="48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2.1废水排放源强</w:t>
            </w:r>
            <w:r>
              <w:rPr>
                <w:rFonts w:hint="default" w:ascii="Times New Roman" w:hAnsi="Times New Roman" w:eastAsia="宋体" w:cs="Times New Roman"/>
                <w:lang w:val="en-US" w:eastAsia="zh-CN"/>
              </w:rPr>
              <w:tab/>
            </w:r>
          </w:p>
          <w:p>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 xml:space="preserve"> </w:t>
            </w:r>
            <w:r>
              <w:rPr>
                <w:rFonts w:hint="default" w:ascii="Times New Roman" w:hAnsi="Times New Roman" w:eastAsia="宋体" w:cs="Times New Roman"/>
                <w:lang w:eastAsia="zh-CN"/>
              </w:rPr>
              <w:t>村民</w:t>
            </w:r>
            <w:r>
              <w:rPr>
                <w:rFonts w:hint="default" w:ascii="Times New Roman" w:hAnsi="Times New Roman" w:eastAsia="宋体" w:cs="Times New Roman"/>
              </w:rPr>
              <w:t>生活污水主要来自居民日常的冲厕、洗衣、洗浴等过程，</w:t>
            </w:r>
            <w:r>
              <w:rPr>
                <w:rFonts w:hint="default" w:ascii="Times New Roman" w:hAnsi="Times New Roman" w:eastAsia="宋体" w:cs="Times New Roman"/>
                <w:lang w:eastAsia="zh-CN"/>
              </w:rPr>
              <w:t>村民</w:t>
            </w:r>
            <w:r>
              <w:rPr>
                <w:rFonts w:hint="default" w:ascii="Times New Roman" w:hAnsi="Times New Roman" w:eastAsia="宋体" w:cs="Times New Roman"/>
                <w:lang w:val="en-US" w:eastAsia="zh-CN"/>
              </w:rPr>
              <w:t>生活污水经管网排入化粪池后排入污水处理站处理，</w:t>
            </w:r>
            <w:r>
              <w:rPr>
                <w:rFonts w:hint="default" w:ascii="Times New Roman" w:hAnsi="Times New Roman" w:eastAsia="宋体" w:cs="Times New Roman"/>
              </w:rPr>
              <w:t>污水中的污染因子主要是COD、BOD</w:t>
            </w:r>
            <w:r>
              <w:rPr>
                <w:rFonts w:hint="default" w:ascii="Times New Roman" w:hAnsi="Times New Roman" w:eastAsia="宋体" w:cs="Times New Roman"/>
                <w:vertAlign w:val="subscript"/>
              </w:rPr>
              <w:t>5</w:t>
            </w:r>
            <w:r>
              <w:rPr>
                <w:rFonts w:hint="default" w:ascii="Times New Roman" w:hAnsi="Times New Roman" w:eastAsia="宋体" w:cs="Times New Roman"/>
              </w:rPr>
              <w:t>、SS、NH</w:t>
            </w:r>
            <w:r>
              <w:rPr>
                <w:rFonts w:hint="default" w:ascii="Times New Roman" w:hAnsi="Times New Roman" w:eastAsia="宋体" w:cs="Times New Roman"/>
                <w:vertAlign w:val="subscript"/>
              </w:rPr>
              <w:t>3</w:t>
            </w:r>
            <w:r>
              <w:rPr>
                <w:rFonts w:hint="default" w:ascii="Times New Roman" w:hAnsi="Times New Roman" w:eastAsia="宋体" w:cs="Times New Roman"/>
              </w:rPr>
              <w:t>-N、TN、TP等，根据项目设计进、出水水质指标，给出项目生活污水中各污染因子的产生情况、排放情况，详见下表：</w:t>
            </w:r>
          </w:p>
          <w:p>
            <w:pPr>
              <w:keepNext w:val="0"/>
              <w:keepLines w:val="0"/>
              <w:pageBreakBefore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4-9</w:t>
            </w:r>
            <w:r>
              <w:rPr>
                <w:rFonts w:hint="default" w:ascii="Times New Roman" w:hAnsi="Times New Roman" w:eastAsia="宋体" w:cs="Times New Roman"/>
                <w:b/>
                <w:bCs/>
                <w:sz w:val="21"/>
                <w:szCs w:val="21"/>
              </w:rPr>
              <w:t xml:space="preserve">  污水处理站项目生活污水各污染因子产生、排放情况一览表</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1349"/>
              <w:gridCol w:w="1394"/>
              <w:gridCol w:w="1357"/>
              <w:gridCol w:w="1615"/>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3" w:type="pct"/>
                  <w:noWrap w:val="0"/>
                  <w:vAlign w:val="center"/>
                </w:tcPr>
                <w:p>
                  <w:pPr>
                    <w:pStyle w:val="20"/>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规模</w:t>
                  </w:r>
                </w:p>
              </w:tc>
              <w:tc>
                <w:tcPr>
                  <w:tcW w:w="769" w:type="pct"/>
                  <w:noWrap w:val="0"/>
                  <w:vAlign w:val="center"/>
                </w:tcPr>
                <w:p>
                  <w:pPr>
                    <w:pStyle w:val="20"/>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污染因子</w:t>
                  </w:r>
                </w:p>
              </w:tc>
              <w:tc>
                <w:tcPr>
                  <w:tcW w:w="795" w:type="pct"/>
                  <w:noWrap w:val="0"/>
                  <w:vAlign w:val="center"/>
                </w:tcPr>
                <w:p>
                  <w:pPr>
                    <w:pStyle w:val="20"/>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产生浓度（mg/L）</w:t>
                  </w:r>
                </w:p>
              </w:tc>
              <w:tc>
                <w:tcPr>
                  <w:tcW w:w="773" w:type="pct"/>
                  <w:noWrap w:val="0"/>
                  <w:vAlign w:val="center"/>
                </w:tcPr>
                <w:p>
                  <w:pPr>
                    <w:pStyle w:val="20"/>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产生量（t/a）</w:t>
                  </w:r>
                </w:p>
              </w:tc>
              <w:tc>
                <w:tcPr>
                  <w:tcW w:w="921" w:type="pct"/>
                  <w:noWrap w:val="0"/>
                  <w:vAlign w:val="center"/>
                </w:tcPr>
                <w:p>
                  <w:pPr>
                    <w:pStyle w:val="20"/>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排放浓度（mg/L）</w:t>
                  </w:r>
                </w:p>
              </w:tc>
              <w:tc>
                <w:tcPr>
                  <w:tcW w:w="966" w:type="pct"/>
                  <w:noWrap w:val="0"/>
                  <w:vAlign w:val="center"/>
                </w:tcPr>
                <w:p>
                  <w:pPr>
                    <w:pStyle w:val="20"/>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3" w:type="pct"/>
                  <w:vMerge w:val="restart"/>
                  <w:noWrap w:val="0"/>
                  <w:vAlign w:val="center"/>
                </w:tcPr>
                <w:p>
                  <w:pPr>
                    <w:pStyle w:val="20"/>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50</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/d</w:t>
                  </w:r>
                </w:p>
              </w:tc>
              <w:tc>
                <w:tcPr>
                  <w:tcW w:w="769" w:type="pct"/>
                  <w:noWrap w:val="0"/>
                  <w:vAlign w:val="center"/>
                </w:tcPr>
                <w:p>
                  <w:pPr>
                    <w:pStyle w:val="20"/>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污水量</w:t>
                  </w:r>
                </w:p>
              </w:tc>
              <w:tc>
                <w:tcPr>
                  <w:tcW w:w="1569" w:type="pct"/>
                  <w:gridSpan w:val="2"/>
                  <w:noWrap w:val="0"/>
                  <w:vAlign w:val="center"/>
                </w:tcPr>
                <w:p>
                  <w:pPr>
                    <w:pStyle w:val="20"/>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18250</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/a</w:t>
                  </w:r>
                </w:p>
              </w:tc>
              <w:tc>
                <w:tcPr>
                  <w:tcW w:w="1888" w:type="pct"/>
                  <w:gridSpan w:val="2"/>
                  <w:noWrap w:val="0"/>
                  <w:vAlign w:val="center"/>
                </w:tcPr>
                <w:p>
                  <w:pPr>
                    <w:pStyle w:val="20"/>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18250</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3" w:type="pct"/>
                  <w:vMerge w:val="continue"/>
                  <w:noWrap w:val="0"/>
                  <w:vAlign w:val="center"/>
                </w:tcPr>
                <w:p>
                  <w:pPr>
                    <w:pStyle w:val="20"/>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sz w:val="21"/>
                      <w:szCs w:val="21"/>
                    </w:rPr>
                  </w:pPr>
                </w:p>
              </w:tc>
              <w:tc>
                <w:tcPr>
                  <w:tcW w:w="769" w:type="pct"/>
                  <w:noWrap w:val="0"/>
                  <w:vAlign w:val="center"/>
                </w:tcPr>
                <w:p>
                  <w:pPr>
                    <w:pStyle w:val="20"/>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w:t>
                  </w:r>
                </w:p>
              </w:tc>
              <w:tc>
                <w:tcPr>
                  <w:tcW w:w="795" w:type="pct"/>
                  <w:noWrap w:val="0"/>
                  <w:vAlign w:val="center"/>
                </w:tcPr>
                <w:p>
                  <w:pPr>
                    <w:pStyle w:val="20"/>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350</w:t>
                  </w:r>
                </w:p>
              </w:tc>
              <w:tc>
                <w:tcPr>
                  <w:tcW w:w="773" w:type="pct"/>
                  <w:noWrap w:val="0"/>
                  <w:vAlign w:val="center"/>
                </w:tcPr>
                <w:p>
                  <w:pPr>
                    <w:keepNext w:val="0"/>
                    <w:keepLines w:val="0"/>
                    <w:pageBreakBefore w:val="0"/>
                    <w:widowControl/>
                    <w:suppressLineNumbers w:val="0"/>
                    <w:kinsoku/>
                    <w:wordWrap/>
                    <w:overflowPunct/>
                    <w:topLinePunct w:val="0"/>
                    <w:autoSpaceDE w:val="0"/>
                    <w:autoSpaceDN w:val="0"/>
                    <w:bidi w:val="0"/>
                    <w:snapToGrid/>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6.39</w:t>
                  </w:r>
                </w:p>
              </w:tc>
              <w:tc>
                <w:tcPr>
                  <w:tcW w:w="921" w:type="pct"/>
                  <w:noWrap w:val="0"/>
                  <w:vAlign w:val="center"/>
                </w:tcPr>
                <w:p>
                  <w:pPr>
                    <w:pStyle w:val="26"/>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966" w:type="pct"/>
                  <w:noWrap w:val="0"/>
                  <w:vAlign w:val="center"/>
                </w:tcPr>
                <w:p>
                  <w:pPr>
                    <w:keepNext w:val="0"/>
                    <w:keepLines w:val="0"/>
                    <w:pageBreakBefore w:val="0"/>
                    <w:widowControl/>
                    <w:suppressLineNumbers w:val="0"/>
                    <w:kinsoku/>
                    <w:wordWrap/>
                    <w:overflowPunct/>
                    <w:topLinePunct w:val="0"/>
                    <w:autoSpaceDE w:val="0"/>
                    <w:autoSpaceDN w:val="0"/>
                    <w:bidi w:val="0"/>
                    <w:snapToGrid/>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8" w:hRule="atLeast"/>
                <w:jc w:val="center"/>
              </w:trPr>
              <w:tc>
                <w:tcPr>
                  <w:tcW w:w="773" w:type="pct"/>
                  <w:vMerge w:val="continue"/>
                  <w:noWrap w:val="0"/>
                  <w:vAlign w:val="center"/>
                </w:tcPr>
                <w:p>
                  <w:pPr>
                    <w:pStyle w:val="20"/>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sz w:val="21"/>
                      <w:szCs w:val="21"/>
                    </w:rPr>
                  </w:pPr>
                </w:p>
              </w:tc>
              <w:tc>
                <w:tcPr>
                  <w:tcW w:w="769" w:type="pct"/>
                  <w:noWrap w:val="0"/>
                  <w:vAlign w:val="center"/>
                </w:tcPr>
                <w:p>
                  <w:pPr>
                    <w:pStyle w:val="20"/>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rPr>
                    <w:t>5</w:t>
                  </w:r>
                </w:p>
              </w:tc>
              <w:tc>
                <w:tcPr>
                  <w:tcW w:w="795" w:type="pct"/>
                  <w:noWrap w:val="0"/>
                  <w:vAlign w:val="center"/>
                </w:tcPr>
                <w:p>
                  <w:pPr>
                    <w:pStyle w:val="20"/>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150</w:t>
                  </w:r>
                </w:p>
              </w:tc>
              <w:tc>
                <w:tcPr>
                  <w:tcW w:w="773" w:type="pct"/>
                  <w:noWrap w:val="0"/>
                  <w:vAlign w:val="center"/>
                </w:tcPr>
                <w:p>
                  <w:pPr>
                    <w:keepNext w:val="0"/>
                    <w:keepLines w:val="0"/>
                    <w:pageBreakBefore w:val="0"/>
                    <w:widowControl/>
                    <w:suppressLineNumbers w:val="0"/>
                    <w:kinsoku/>
                    <w:wordWrap/>
                    <w:overflowPunct/>
                    <w:topLinePunct w:val="0"/>
                    <w:autoSpaceDE w:val="0"/>
                    <w:autoSpaceDN w:val="0"/>
                    <w:bidi w:val="0"/>
                    <w:snapToGrid/>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2.74</w:t>
                  </w:r>
                </w:p>
              </w:tc>
              <w:tc>
                <w:tcPr>
                  <w:tcW w:w="921" w:type="pct"/>
                  <w:noWrap w:val="0"/>
                  <w:vAlign w:val="center"/>
                </w:tcPr>
                <w:p>
                  <w:pPr>
                    <w:pStyle w:val="26"/>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966" w:type="pct"/>
                  <w:noWrap w:val="0"/>
                  <w:vAlign w:val="center"/>
                </w:tcPr>
                <w:p>
                  <w:pPr>
                    <w:keepNext w:val="0"/>
                    <w:keepLines w:val="0"/>
                    <w:pageBreakBefore w:val="0"/>
                    <w:widowControl/>
                    <w:suppressLineNumbers w:val="0"/>
                    <w:kinsoku/>
                    <w:wordWrap/>
                    <w:overflowPunct/>
                    <w:topLinePunct w:val="0"/>
                    <w:autoSpaceDE w:val="0"/>
                    <w:autoSpaceDN w:val="0"/>
                    <w:bidi w:val="0"/>
                    <w:snapToGrid/>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3" w:type="pct"/>
                  <w:vMerge w:val="continue"/>
                  <w:noWrap w:val="0"/>
                  <w:vAlign w:val="center"/>
                </w:tcPr>
                <w:p>
                  <w:pPr>
                    <w:pStyle w:val="20"/>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sz w:val="21"/>
                      <w:szCs w:val="21"/>
                    </w:rPr>
                  </w:pPr>
                </w:p>
              </w:tc>
              <w:tc>
                <w:tcPr>
                  <w:tcW w:w="769" w:type="pct"/>
                  <w:noWrap w:val="0"/>
                  <w:vAlign w:val="center"/>
                </w:tcPr>
                <w:p>
                  <w:pPr>
                    <w:pStyle w:val="20"/>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SS</w:t>
                  </w:r>
                  <w:r>
                    <w:rPr>
                      <w:rFonts w:hint="default" w:ascii="Times New Roman" w:hAnsi="Times New Roman" w:eastAsia="宋体" w:cs="Times New Roman"/>
                      <w:sz w:val="21"/>
                      <w:szCs w:val="21"/>
                      <w:lang w:val="en-US" w:eastAsia="zh-CN"/>
                    </w:rPr>
                    <w:t>/浊度</w:t>
                  </w:r>
                </w:p>
              </w:tc>
              <w:tc>
                <w:tcPr>
                  <w:tcW w:w="795" w:type="pct"/>
                  <w:noWrap w:val="0"/>
                  <w:vAlign w:val="center"/>
                </w:tcPr>
                <w:p>
                  <w:pPr>
                    <w:pStyle w:val="20"/>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150</w:t>
                  </w:r>
                </w:p>
              </w:tc>
              <w:tc>
                <w:tcPr>
                  <w:tcW w:w="773" w:type="pct"/>
                  <w:noWrap w:val="0"/>
                  <w:vAlign w:val="center"/>
                </w:tcPr>
                <w:p>
                  <w:pPr>
                    <w:keepNext w:val="0"/>
                    <w:keepLines w:val="0"/>
                    <w:pageBreakBefore w:val="0"/>
                    <w:widowControl/>
                    <w:suppressLineNumbers w:val="0"/>
                    <w:kinsoku/>
                    <w:wordWrap/>
                    <w:overflowPunct/>
                    <w:topLinePunct w:val="0"/>
                    <w:autoSpaceDE w:val="0"/>
                    <w:autoSpaceDN w:val="0"/>
                    <w:bidi w:val="0"/>
                    <w:snapToGrid/>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2.74</w:t>
                  </w:r>
                </w:p>
              </w:tc>
              <w:tc>
                <w:tcPr>
                  <w:tcW w:w="921" w:type="pct"/>
                  <w:noWrap w:val="0"/>
                  <w:vAlign w:val="center"/>
                </w:tcPr>
                <w:p>
                  <w:pPr>
                    <w:pStyle w:val="26"/>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966" w:type="pct"/>
                  <w:noWrap w:val="0"/>
                  <w:vAlign w:val="center"/>
                </w:tcPr>
                <w:p>
                  <w:pPr>
                    <w:keepNext w:val="0"/>
                    <w:keepLines w:val="0"/>
                    <w:pageBreakBefore w:val="0"/>
                    <w:widowControl/>
                    <w:suppressLineNumbers w:val="0"/>
                    <w:kinsoku/>
                    <w:wordWrap/>
                    <w:overflowPunct/>
                    <w:topLinePunct w:val="0"/>
                    <w:autoSpaceDE w:val="0"/>
                    <w:autoSpaceDN w:val="0"/>
                    <w:bidi w:val="0"/>
                    <w:snapToGrid/>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3" w:type="pct"/>
                  <w:vMerge w:val="continue"/>
                  <w:noWrap w:val="0"/>
                  <w:vAlign w:val="center"/>
                </w:tcPr>
                <w:p>
                  <w:pPr>
                    <w:pStyle w:val="20"/>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sz w:val="21"/>
                      <w:szCs w:val="21"/>
                    </w:rPr>
                  </w:pPr>
                </w:p>
              </w:tc>
              <w:tc>
                <w:tcPr>
                  <w:tcW w:w="769" w:type="pct"/>
                  <w:noWrap w:val="0"/>
                  <w:vAlign w:val="center"/>
                </w:tcPr>
                <w:p>
                  <w:pPr>
                    <w:pStyle w:val="20"/>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-N</w:t>
                  </w:r>
                </w:p>
              </w:tc>
              <w:tc>
                <w:tcPr>
                  <w:tcW w:w="795" w:type="pct"/>
                  <w:noWrap w:val="0"/>
                  <w:vAlign w:val="center"/>
                </w:tcPr>
                <w:p>
                  <w:pPr>
                    <w:pStyle w:val="20"/>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w:t>
                  </w:r>
                </w:p>
              </w:tc>
              <w:tc>
                <w:tcPr>
                  <w:tcW w:w="773" w:type="pct"/>
                  <w:noWrap w:val="0"/>
                  <w:vAlign w:val="center"/>
                </w:tcPr>
                <w:p>
                  <w:pPr>
                    <w:keepNext w:val="0"/>
                    <w:keepLines w:val="0"/>
                    <w:pageBreakBefore w:val="0"/>
                    <w:widowControl/>
                    <w:suppressLineNumbers w:val="0"/>
                    <w:kinsoku/>
                    <w:wordWrap/>
                    <w:overflowPunct/>
                    <w:topLinePunct w:val="0"/>
                    <w:autoSpaceDE w:val="0"/>
                    <w:autoSpaceDN w:val="0"/>
                    <w:bidi w:val="0"/>
                    <w:snapToGrid/>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0.55</w:t>
                  </w:r>
                </w:p>
              </w:tc>
              <w:tc>
                <w:tcPr>
                  <w:tcW w:w="921" w:type="pct"/>
                  <w:noWrap w:val="0"/>
                  <w:vAlign w:val="center"/>
                </w:tcPr>
                <w:p>
                  <w:pPr>
                    <w:pStyle w:val="20"/>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5</w:t>
                  </w:r>
                </w:p>
              </w:tc>
              <w:tc>
                <w:tcPr>
                  <w:tcW w:w="966" w:type="pct"/>
                  <w:noWrap w:val="0"/>
                  <w:vAlign w:val="center"/>
                </w:tcPr>
                <w:p>
                  <w:pPr>
                    <w:keepNext w:val="0"/>
                    <w:keepLines w:val="0"/>
                    <w:pageBreakBefore w:val="0"/>
                    <w:widowControl/>
                    <w:suppressLineNumbers w:val="0"/>
                    <w:kinsoku/>
                    <w:wordWrap/>
                    <w:overflowPunct/>
                    <w:topLinePunct w:val="0"/>
                    <w:autoSpaceDE w:val="0"/>
                    <w:autoSpaceDN w:val="0"/>
                    <w:bidi w:val="0"/>
                    <w:snapToGrid/>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3" w:type="pct"/>
                  <w:vMerge w:val="continue"/>
                  <w:noWrap w:val="0"/>
                  <w:vAlign w:val="center"/>
                </w:tcPr>
                <w:p>
                  <w:pPr>
                    <w:pStyle w:val="20"/>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sz w:val="21"/>
                      <w:szCs w:val="21"/>
                    </w:rPr>
                  </w:pPr>
                </w:p>
              </w:tc>
              <w:tc>
                <w:tcPr>
                  <w:tcW w:w="769" w:type="pct"/>
                  <w:noWrap w:val="0"/>
                  <w:vAlign w:val="center"/>
                </w:tcPr>
                <w:p>
                  <w:pPr>
                    <w:pStyle w:val="20"/>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TN</w:t>
                  </w:r>
                </w:p>
              </w:tc>
              <w:tc>
                <w:tcPr>
                  <w:tcW w:w="795" w:type="pct"/>
                  <w:noWrap w:val="0"/>
                  <w:vAlign w:val="center"/>
                </w:tcPr>
                <w:p>
                  <w:pPr>
                    <w:pStyle w:val="20"/>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w:t>
                  </w:r>
                </w:p>
              </w:tc>
              <w:tc>
                <w:tcPr>
                  <w:tcW w:w="773" w:type="pct"/>
                  <w:noWrap w:val="0"/>
                  <w:vAlign w:val="center"/>
                </w:tcPr>
                <w:p>
                  <w:pPr>
                    <w:keepNext w:val="0"/>
                    <w:keepLines w:val="0"/>
                    <w:pageBreakBefore w:val="0"/>
                    <w:widowControl/>
                    <w:suppressLineNumbers w:val="0"/>
                    <w:kinsoku/>
                    <w:wordWrap/>
                    <w:overflowPunct/>
                    <w:topLinePunct w:val="0"/>
                    <w:autoSpaceDE w:val="0"/>
                    <w:autoSpaceDN w:val="0"/>
                    <w:bidi w:val="0"/>
                    <w:snapToGrid/>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0.82</w:t>
                  </w:r>
                </w:p>
              </w:tc>
              <w:tc>
                <w:tcPr>
                  <w:tcW w:w="921" w:type="pct"/>
                  <w:noWrap w:val="0"/>
                  <w:vAlign w:val="center"/>
                </w:tcPr>
                <w:p>
                  <w:pPr>
                    <w:pStyle w:val="20"/>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966" w:type="pct"/>
                  <w:noWrap w:val="0"/>
                  <w:vAlign w:val="center"/>
                </w:tcPr>
                <w:p>
                  <w:pPr>
                    <w:keepNext w:val="0"/>
                    <w:keepLines w:val="0"/>
                    <w:pageBreakBefore w:val="0"/>
                    <w:widowControl/>
                    <w:suppressLineNumbers w:val="0"/>
                    <w:kinsoku/>
                    <w:wordWrap/>
                    <w:overflowPunct/>
                    <w:topLinePunct w:val="0"/>
                    <w:autoSpaceDE w:val="0"/>
                    <w:autoSpaceDN w:val="0"/>
                    <w:bidi w:val="0"/>
                    <w:snapToGrid/>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3" w:type="pct"/>
                  <w:vMerge w:val="continue"/>
                  <w:noWrap w:val="0"/>
                  <w:vAlign w:val="center"/>
                </w:tcPr>
                <w:p>
                  <w:pPr>
                    <w:pStyle w:val="20"/>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sz w:val="21"/>
                      <w:szCs w:val="21"/>
                    </w:rPr>
                  </w:pPr>
                </w:p>
              </w:tc>
              <w:tc>
                <w:tcPr>
                  <w:tcW w:w="769" w:type="pct"/>
                  <w:noWrap w:val="0"/>
                  <w:vAlign w:val="center"/>
                </w:tcPr>
                <w:p>
                  <w:pPr>
                    <w:pStyle w:val="20"/>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TP</w:t>
                  </w:r>
                </w:p>
              </w:tc>
              <w:tc>
                <w:tcPr>
                  <w:tcW w:w="795" w:type="pct"/>
                  <w:noWrap w:val="0"/>
                  <w:vAlign w:val="center"/>
                </w:tcPr>
                <w:p>
                  <w:pPr>
                    <w:pStyle w:val="20"/>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5</w:t>
                  </w:r>
                </w:p>
              </w:tc>
              <w:tc>
                <w:tcPr>
                  <w:tcW w:w="773" w:type="pct"/>
                  <w:noWrap w:val="0"/>
                  <w:vAlign w:val="center"/>
                </w:tcPr>
                <w:p>
                  <w:pPr>
                    <w:keepNext w:val="0"/>
                    <w:keepLines w:val="0"/>
                    <w:pageBreakBefore w:val="0"/>
                    <w:widowControl/>
                    <w:suppressLineNumbers w:val="0"/>
                    <w:kinsoku/>
                    <w:wordWrap/>
                    <w:overflowPunct/>
                    <w:topLinePunct w:val="0"/>
                    <w:autoSpaceDE w:val="0"/>
                    <w:autoSpaceDN w:val="0"/>
                    <w:bidi w:val="0"/>
                    <w:snapToGrid/>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0.09</w:t>
                  </w:r>
                </w:p>
              </w:tc>
              <w:tc>
                <w:tcPr>
                  <w:tcW w:w="921" w:type="pct"/>
                  <w:noWrap w:val="0"/>
                  <w:vAlign w:val="center"/>
                </w:tcPr>
                <w:p>
                  <w:pPr>
                    <w:pStyle w:val="20"/>
                    <w:keepNext w:val="0"/>
                    <w:keepLines w:val="0"/>
                    <w:pageBreakBefore w:val="0"/>
                    <w:kinsoku/>
                    <w:wordWrap/>
                    <w:overflowPunct/>
                    <w:topLinePunct w:val="0"/>
                    <w:autoSpaceDE w:val="0"/>
                    <w:autoSpaceDN w:val="0"/>
                    <w:bidi w:val="0"/>
                    <w:snapToGrid/>
                    <w:spacing w:line="240" w:lineRule="auto"/>
                    <w:ind w:left="0" w:right="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w:t>
                  </w:r>
                </w:p>
              </w:tc>
              <w:tc>
                <w:tcPr>
                  <w:tcW w:w="966" w:type="pct"/>
                  <w:noWrap w:val="0"/>
                  <w:vAlign w:val="center"/>
                </w:tcPr>
                <w:p>
                  <w:pPr>
                    <w:keepNext w:val="0"/>
                    <w:keepLines w:val="0"/>
                    <w:pageBreakBefore w:val="0"/>
                    <w:widowControl/>
                    <w:suppressLineNumbers w:val="0"/>
                    <w:kinsoku/>
                    <w:wordWrap/>
                    <w:overflowPunct/>
                    <w:topLinePunct w:val="0"/>
                    <w:autoSpaceDE w:val="0"/>
                    <w:autoSpaceDN w:val="0"/>
                    <w:bidi w:val="0"/>
                    <w:snapToGrid/>
                    <w:spacing w:line="240" w:lineRule="auto"/>
                    <w:ind w:left="0" w:leftChars="0" w:right="0" w:right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w:t>
                  </w:r>
                </w:p>
              </w:tc>
            </w:tr>
          </w:tbl>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2.2处理措施可行性分析</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本项目</w:t>
            </w:r>
            <w:r>
              <w:rPr>
                <w:rFonts w:hint="default" w:ascii="Times New Roman" w:hAnsi="Times New Roman" w:eastAsia="宋体" w:cs="Times New Roman"/>
                <w:lang w:eastAsia="zh-CN"/>
              </w:rPr>
              <w:t>沥水沟村生活污水经污水处理站处理后</w:t>
            </w:r>
            <w:r>
              <w:rPr>
                <w:rFonts w:hint="default" w:ascii="Times New Roman" w:hAnsi="Times New Roman" w:eastAsia="宋体" w:cs="Times New Roman"/>
              </w:rPr>
              <w:t>达标尾水全部回用于农田灌溉</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冬季用于农田冬灌</w:t>
            </w:r>
            <w:r>
              <w:rPr>
                <w:rFonts w:hint="default" w:ascii="Times New Roman" w:hAnsi="Times New Roman" w:eastAsia="宋体" w:cs="Times New Roman"/>
              </w:rPr>
              <w:t>。根据《环境影响评价技术导则 地表水环境》HJ2.3-2018表1——水污染影响型评价等级判定相关叙述，评价等级定为三级B。</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根据《环境影响评价技术导则  地表水环境》（HJ2.3-2018）的地表水环境影响预测与评价的总体要求，水污染型三级B评价可不进行水环境影响预测，仅对水污染控制和水环境影响减缓措施有效性进行评价，并说明污水处理设施的环境可行性评价。</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⑴水污染控制和水环境影响减缓措施有效性</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农村居民生活污水，原均排入河道，增加了地表水环境负担，本次项目的建设将村居民产生的生活污水排入污水管网进入化粪池处理后进入污水处理站处理达标后回用于灌溉，不仅提升了生活污水水质，还将处理达标后的污水回用，给污水提供了合理的去向，大大降低了对附近河道的污染，提升了地表水环境质量。</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eastAsia="宋体" w:cs="Times New Roman"/>
              </w:rPr>
              <w:t>⑵</w:t>
            </w:r>
            <w:r>
              <w:rPr>
                <w:rFonts w:hint="default" w:ascii="Times New Roman" w:hAnsi="Times New Roman" w:eastAsia="宋体" w:cs="Times New Roman"/>
                <w:lang w:eastAsia="zh-CN"/>
              </w:rPr>
              <w:t>污水处理设施环境可行性</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①处理方式可行性</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本项目居民生活污水日最大排放量为30.4m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，配套污水处理站处理规模为50m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/d，可满足本项目需求，且污水处理站设置在</w:t>
            </w:r>
            <w:r>
              <w:rPr>
                <w:rFonts w:hint="default" w:ascii="Times New Roman" w:hAnsi="Times New Roman" w:eastAsia="宋体" w:cs="Times New Roman"/>
                <w:lang w:eastAsia="zh-CN"/>
              </w:rPr>
              <w:t>沥水沟</w:t>
            </w:r>
            <w:r>
              <w:rPr>
                <w:rFonts w:hint="default" w:ascii="Times New Roman" w:hAnsi="Times New Roman" w:eastAsia="宋体" w:cs="Times New Roman"/>
              </w:rPr>
              <w:t>村</w:t>
            </w:r>
            <w:r>
              <w:rPr>
                <w:rFonts w:hint="default" w:ascii="Times New Roman" w:hAnsi="Times New Roman" w:eastAsia="宋体" w:cs="Times New Roman"/>
                <w:lang w:val="en-US" w:eastAsia="zh-CN"/>
              </w:rPr>
              <w:t>周边，距离较近，通过地下管道直接输送进站，无需转运。</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②从水质角度分析可行性</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lang w:val="en-US" w:eastAsia="zh-CN"/>
              </w:rPr>
              <w:t>项目废水为</w:t>
            </w:r>
            <w:r>
              <w:rPr>
                <w:rFonts w:hint="default" w:ascii="Times New Roman" w:hAnsi="Times New Roman" w:eastAsia="宋体" w:cs="Times New Roman"/>
                <w:lang w:eastAsia="zh-CN"/>
              </w:rPr>
              <w:t>沥水沟村</w:t>
            </w:r>
            <w:r>
              <w:rPr>
                <w:rFonts w:hint="default" w:ascii="Times New Roman" w:hAnsi="Times New Roman" w:eastAsia="宋体" w:cs="Times New Roman"/>
              </w:rPr>
              <w:t>的生活污水</w:t>
            </w:r>
            <w:r>
              <w:rPr>
                <w:rFonts w:hint="default" w:ascii="Times New Roman" w:hAnsi="Times New Roman" w:eastAsia="宋体" w:cs="Times New Roman"/>
                <w:lang w:val="en-US" w:eastAsia="zh-CN"/>
              </w:rPr>
              <w:t>，主要污染参数如下：</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4-10</w:t>
            </w:r>
            <w:r>
              <w:rPr>
                <w:rFonts w:hint="default" w:ascii="Times New Roman" w:hAnsi="Times New Roman" w:eastAsia="宋体" w:cs="Times New Roman"/>
                <w:b/>
                <w:bCs/>
                <w:sz w:val="21"/>
                <w:szCs w:val="21"/>
              </w:rPr>
              <w:t xml:space="preserve"> 生活废水产排情况一览表</w:t>
            </w:r>
            <w:r>
              <w:rPr>
                <w:rFonts w:hint="default" w:ascii="Times New Roman" w:hAnsi="Times New Roman" w:eastAsia="宋体" w:cs="Times New Roman"/>
                <w:b/>
                <w:bCs/>
                <w:sz w:val="21"/>
                <w:szCs w:val="21"/>
                <w:lang w:val="en-US" w:eastAsia="zh-CN"/>
              </w:rPr>
              <w:t xml:space="preserve">   单位</w:t>
            </w:r>
            <w:r>
              <w:rPr>
                <w:rFonts w:hint="default" w:ascii="Times New Roman" w:hAnsi="Times New Roman" w:eastAsia="宋体" w:cs="Times New Roman"/>
                <w:b/>
                <w:bCs/>
                <w:sz w:val="21"/>
                <w:szCs w:val="21"/>
              </w:rPr>
              <w:t>mg/L</w:t>
            </w:r>
          </w:p>
          <w:tbl>
            <w:tblPr>
              <w:tblStyle w:val="1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54"/>
              <w:gridCol w:w="957"/>
              <w:gridCol w:w="1634"/>
              <w:gridCol w:w="1636"/>
              <w:gridCol w:w="1638"/>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 w:hRule="atLeast"/>
                <w:jc w:val="center"/>
              </w:trPr>
              <w:tc>
                <w:tcPr>
                  <w:tcW w:w="71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污水排放源</w:t>
                  </w:r>
                </w:p>
              </w:tc>
              <w:tc>
                <w:tcPr>
                  <w:tcW w:w="5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w:t>
                  </w:r>
                </w:p>
              </w:tc>
              <w:tc>
                <w:tcPr>
                  <w:tcW w:w="93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污染物</w:t>
                  </w:r>
                  <w:r>
                    <w:rPr>
                      <w:rFonts w:hint="default" w:ascii="Times New Roman" w:hAnsi="Times New Roman" w:eastAsia="宋体" w:cs="Times New Roman"/>
                      <w:b/>
                      <w:bCs/>
                      <w:sz w:val="21"/>
                      <w:szCs w:val="21"/>
                      <w:lang w:eastAsia="zh-CN"/>
                    </w:rPr>
                    <w:t>产生</w:t>
                  </w:r>
                  <w:r>
                    <w:rPr>
                      <w:rFonts w:hint="default" w:ascii="Times New Roman" w:hAnsi="Times New Roman" w:eastAsia="宋体" w:cs="Times New Roman"/>
                      <w:b/>
                      <w:bCs/>
                      <w:sz w:val="21"/>
                      <w:szCs w:val="21"/>
                    </w:rPr>
                    <w:t>浓度（mg/L）</w:t>
                  </w:r>
                </w:p>
              </w:tc>
              <w:tc>
                <w:tcPr>
                  <w:tcW w:w="9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w:t>
                  </w:r>
                  <w:r>
                    <w:rPr>
                      <w:rFonts w:hint="default" w:ascii="Times New Roman" w:hAnsi="Times New Roman" w:eastAsia="宋体" w:cs="Times New Roman"/>
                      <w:b/>
                      <w:bCs/>
                      <w:sz w:val="21"/>
                      <w:szCs w:val="21"/>
                      <w:lang w:eastAsia="zh-CN"/>
                    </w:rPr>
                    <w:t>排放</w:t>
                  </w:r>
                  <w:r>
                    <w:rPr>
                      <w:rFonts w:hint="default" w:ascii="Times New Roman" w:hAnsi="Times New Roman" w:eastAsia="宋体" w:cs="Times New Roman"/>
                      <w:b/>
                      <w:bCs/>
                      <w:sz w:val="21"/>
                      <w:szCs w:val="21"/>
                    </w:rPr>
                    <w:t>浓度（mg/L）</w:t>
                  </w:r>
                </w:p>
              </w:tc>
              <w:tc>
                <w:tcPr>
                  <w:tcW w:w="1871" w:type="pct"/>
                  <w:gridSpan w:val="2"/>
                  <w:tcBorders>
                    <w:tl2br w:val="nil"/>
                    <w:tr2bl w:val="nil"/>
                  </w:tcBorders>
                  <w:noWrap w:val="0"/>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715" w:type="pct"/>
                  <w:vMerge w:val="continue"/>
                  <w:tcBorders>
                    <w:tl2br w:val="nil"/>
                    <w:tr2bl w:val="nil"/>
                  </w:tcBorders>
                  <w:noWrap w:val="0"/>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
                      <w:bCs/>
                      <w:sz w:val="21"/>
                      <w:szCs w:val="21"/>
                    </w:rPr>
                  </w:pPr>
                </w:p>
              </w:tc>
              <w:tc>
                <w:tcPr>
                  <w:tcW w:w="546" w:type="pct"/>
                  <w:vMerge w:val="continue"/>
                  <w:tcBorders>
                    <w:tl2br w:val="nil"/>
                    <w:tr2bl w:val="nil"/>
                  </w:tcBorders>
                  <w:noWrap w:val="0"/>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
                      <w:bCs/>
                      <w:sz w:val="21"/>
                      <w:szCs w:val="21"/>
                    </w:rPr>
                  </w:pPr>
                </w:p>
              </w:tc>
              <w:tc>
                <w:tcPr>
                  <w:tcW w:w="932" w:type="pct"/>
                  <w:vMerge w:val="continue"/>
                  <w:tcBorders>
                    <w:tl2br w:val="nil"/>
                    <w:tr2bl w:val="nil"/>
                  </w:tcBorders>
                  <w:noWrap w:val="0"/>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
                      <w:bCs/>
                      <w:sz w:val="21"/>
                      <w:szCs w:val="21"/>
                    </w:rPr>
                  </w:pPr>
                </w:p>
              </w:tc>
              <w:tc>
                <w:tcPr>
                  <w:tcW w:w="933" w:type="pct"/>
                  <w:vMerge w:val="continue"/>
                  <w:tcBorders>
                    <w:tl2br w:val="nil"/>
                    <w:tr2bl w:val="nil"/>
                  </w:tcBorders>
                  <w:noWrap w:val="0"/>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
                      <w:bCs/>
                      <w:sz w:val="21"/>
                      <w:szCs w:val="21"/>
                    </w:rPr>
                  </w:pPr>
                </w:p>
              </w:tc>
              <w:tc>
                <w:tcPr>
                  <w:tcW w:w="934" w:type="pct"/>
                  <w:tcBorders>
                    <w:tl2br w:val="nil"/>
                    <w:tr2bl w:val="nil"/>
                  </w:tcBorders>
                  <w:noWrap w:val="0"/>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eastAsia="zh-CN"/>
                    </w:rPr>
                    <w:t>DB13</w:t>
                  </w:r>
                  <w:r>
                    <w:rPr>
                      <w:rFonts w:hint="default" w:ascii="Times New Roman" w:hAnsi="Times New Roman" w:eastAsia="宋体" w:cs="Times New Roman"/>
                      <w:b/>
                      <w:bCs/>
                      <w:sz w:val="21"/>
                      <w:szCs w:val="21"/>
                    </w:rPr>
                    <w:t>/</w:t>
                  </w:r>
                  <w:r>
                    <w:rPr>
                      <w:rFonts w:hint="default" w:ascii="Times New Roman" w:hAnsi="Times New Roman" w:eastAsia="宋体" w:cs="Times New Roman"/>
                      <w:b/>
                      <w:bCs/>
                      <w:sz w:val="21"/>
                      <w:szCs w:val="21"/>
                      <w:lang w:eastAsia="zh-CN"/>
                    </w:rPr>
                    <w:t>2171</w:t>
                  </w:r>
                  <w:r>
                    <w:rPr>
                      <w:rFonts w:hint="default" w:ascii="Times New Roman" w:hAnsi="Times New Roman" w:eastAsia="宋体" w:cs="Times New Roman"/>
                      <w:b/>
                      <w:bCs/>
                      <w:sz w:val="21"/>
                      <w:szCs w:val="21"/>
                    </w:rPr>
                    <w:t>-</w:t>
                  </w:r>
                  <w:r>
                    <w:rPr>
                      <w:rFonts w:hint="default" w:ascii="Times New Roman" w:hAnsi="Times New Roman" w:eastAsia="宋体" w:cs="Times New Roman"/>
                      <w:b/>
                      <w:bCs/>
                      <w:sz w:val="21"/>
                      <w:szCs w:val="21"/>
                      <w:lang w:eastAsia="zh-CN"/>
                    </w:rPr>
                    <w:t>20</w:t>
                  </w:r>
                  <w:r>
                    <w:rPr>
                      <w:rFonts w:hint="default" w:ascii="Times New Roman" w:hAnsi="Times New Roman" w:eastAsia="宋体" w:cs="Times New Roman"/>
                      <w:b/>
                      <w:bCs/>
                      <w:sz w:val="21"/>
                      <w:szCs w:val="21"/>
                      <w:lang w:val="en-US" w:eastAsia="zh-CN"/>
                    </w:rPr>
                    <w:t>20</w:t>
                  </w:r>
                  <w:r>
                    <w:rPr>
                      <w:rFonts w:hint="default" w:ascii="Times New Roman" w:hAnsi="Times New Roman" w:eastAsia="宋体" w:cs="Times New Roman"/>
                      <w:b/>
                      <w:bCs/>
                      <w:sz w:val="21"/>
                      <w:szCs w:val="21"/>
                    </w:rPr>
                    <w:t>（</w:t>
                  </w:r>
                  <w:r>
                    <w:rPr>
                      <w:rFonts w:hint="default" w:ascii="Times New Roman" w:hAnsi="Times New Roman" w:eastAsia="宋体" w:cs="Times New Roman"/>
                      <w:b/>
                      <w:bCs/>
                      <w:sz w:val="21"/>
                      <w:szCs w:val="21"/>
                      <w:lang w:eastAsia="zh-CN"/>
                    </w:rPr>
                    <w:t>一级</w:t>
                  </w:r>
                  <w:r>
                    <w:rPr>
                      <w:rFonts w:hint="default" w:ascii="Times New Roman" w:hAnsi="Times New Roman" w:eastAsia="宋体" w:cs="Times New Roman"/>
                      <w:b/>
                      <w:bCs/>
                      <w:sz w:val="21"/>
                      <w:szCs w:val="21"/>
                    </w:rPr>
                    <w:t>标准）</w:t>
                  </w:r>
                </w:p>
              </w:tc>
              <w:tc>
                <w:tcPr>
                  <w:tcW w:w="937" w:type="pct"/>
                  <w:tcBorders>
                    <w:tl2br w:val="nil"/>
                    <w:tr2bl w:val="nil"/>
                  </w:tcBorders>
                  <w:noWrap w:val="0"/>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GB5084-2005（蔬菜）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1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污水处理站</w:t>
                  </w:r>
                </w:p>
              </w:tc>
              <w:tc>
                <w:tcPr>
                  <w:tcW w:w="546" w:type="pct"/>
                  <w:tcBorders>
                    <w:tl2br w:val="nil"/>
                    <w:tr2bl w:val="nil"/>
                  </w:tcBorders>
                  <w:noWrap w:val="0"/>
                  <w:vAlign w:val="center"/>
                </w:tcPr>
                <w:p>
                  <w:pPr>
                    <w:pStyle w:val="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w:t>
                  </w:r>
                </w:p>
              </w:tc>
              <w:tc>
                <w:tcPr>
                  <w:tcW w:w="932" w:type="pct"/>
                  <w:tcBorders>
                    <w:tl2br w:val="nil"/>
                    <w:tr2bl w:val="nil"/>
                  </w:tcBorders>
                  <w:noWrap w:val="0"/>
                  <w:vAlign w:val="center"/>
                </w:tcPr>
                <w:p>
                  <w:pPr>
                    <w:pStyle w:val="2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350</w:t>
                  </w:r>
                </w:p>
              </w:tc>
              <w:tc>
                <w:tcPr>
                  <w:tcW w:w="933" w:type="pct"/>
                  <w:tcBorders>
                    <w:tl2br w:val="nil"/>
                    <w:tr2bl w:val="nil"/>
                  </w:tcBorders>
                  <w:noWrap w:val="0"/>
                  <w:vAlign w:val="center"/>
                </w:tcPr>
                <w:p>
                  <w:pPr>
                    <w:pStyle w:val="26"/>
                    <w:spacing w:before="15" w:line="237" w:lineRule="exact"/>
                    <w:ind w:left="666" w:leftChars="0" w:right="66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9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9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1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p>
              </w:tc>
              <w:tc>
                <w:tcPr>
                  <w:tcW w:w="546" w:type="pct"/>
                  <w:tcBorders>
                    <w:tl2br w:val="nil"/>
                    <w:tr2bl w:val="nil"/>
                  </w:tcBorders>
                  <w:noWrap w:val="0"/>
                  <w:vAlign w:val="center"/>
                </w:tcPr>
                <w:p>
                  <w:pPr>
                    <w:pStyle w:val="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rPr>
                    <w:t>5</w:t>
                  </w:r>
                </w:p>
              </w:tc>
              <w:tc>
                <w:tcPr>
                  <w:tcW w:w="932" w:type="pct"/>
                  <w:tcBorders>
                    <w:tl2br w:val="nil"/>
                    <w:tr2bl w:val="nil"/>
                  </w:tcBorders>
                  <w:noWrap w:val="0"/>
                  <w:vAlign w:val="center"/>
                </w:tcPr>
                <w:p>
                  <w:pPr>
                    <w:pStyle w:val="2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150</w:t>
                  </w:r>
                </w:p>
              </w:tc>
              <w:tc>
                <w:tcPr>
                  <w:tcW w:w="933" w:type="pct"/>
                  <w:tcBorders>
                    <w:tl2br w:val="nil"/>
                    <w:tr2bl w:val="nil"/>
                  </w:tcBorders>
                  <w:noWrap w:val="0"/>
                  <w:vAlign w:val="center"/>
                </w:tcPr>
                <w:p>
                  <w:pPr>
                    <w:pStyle w:val="26"/>
                    <w:spacing w:before="14" w:line="239" w:lineRule="exact"/>
                    <w:ind w:left="666" w:leftChars="0" w:right="66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9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9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1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p>
              </w:tc>
              <w:tc>
                <w:tcPr>
                  <w:tcW w:w="546" w:type="pct"/>
                  <w:tcBorders>
                    <w:tl2br w:val="nil"/>
                    <w:tr2bl w:val="nil"/>
                  </w:tcBorders>
                  <w:noWrap w:val="0"/>
                  <w:vAlign w:val="center"/>
                </w:tcPr>
                <w:p>
                  <w:pPr>
                    <w:pStyle w:val="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SS</w:t>
                  </w:r>
                </w:p>
              </w:tc>
              <w:tc>
                <w:tcPr>
                  <w:tcW w:w="932" w:type="pct"/>
                  <w:tcBorders>
                    <w:tl2br w:val="nil"/>
                    <w:tr2bl w:val="nil"/>
                  </w:tcBorders>
                  <w:noWrap w:val="0"/>
                  <w:vAlign w:val="center"/>
                </w:tcPr>
                <w:p>
                  <w:pPr>
                    <w:pStyle w:val="2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250</w:t>
                  </w:r>
                </w:p>
              </w:tc>
              <w:tc>
                <w:tcPr>
                  <w:tcW w:w="933"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38"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9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9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1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p>
              </w:tc>
              <w:tc>
                <w:tcPr>
                  <w:tcW w:w="546" w:type="pct"/>
                  <w:tcBorders>
                    <w:tl2br w:val="nil"/>
                    <w:tr2bl w:val="nil"/>
                  </w:tcBorders>
                  <w:noWrap w:val="0"/>
                  <w:vAlign w:val="center"/>
                </w:tcPr>
                <w:p>
                  <w:pPr>
                    <w:pStyle w:val="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-N</w:t>
                  </w:r>
                </w:p>
              </w:tc>
              <w:tc>
                <w:tcPr>
                  <w:tcW w:w="932" w:type="pct"/>
                  <w:tcBorders>
                    <w:tl2br w:val="nil"/>
                    <w:tr2bl w:val="nil"/>
                  </w:tcBorders>
                  <w:noWrap w:val="0"/>
                  <w:vAlign w:val="center"/>
                </w:tcPr>
                <w:p>
                  <w:pPr>
                    <w:pStyle w:val="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30</w:t>
                  </w:r>
                </w:p>
              </w:tc>
              <w:tc>
                <w:tcPr>
                  <w:tcW w:w="933" w:type="pct"/>
                  <w:tcBorders>
                    <w:tl2br w:val="nil"/>
                    <w:tr2bl w:val="nil"/>
                  </w:tcBorders>
                  <w:noWrap w:val="0"/>
                  <w:vAlign w:val="center"/>
                </w:tcPr>
                <w:p>
                  <w:pPr>
                    <w:pStyle w:val="2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9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9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1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p>
              </w:tc>
              <w:tc>
                <w:tcPr>
                  <w:tcW w:w="546" w:type="pct"/>
                  <w:tcBorders>
                    <w:tl2br w:val="nil"/>
                    <w:tr2bl w:val="nil"/>
                  </w:tcBorders>
                  <w:noWrap w:val="0"/>
                  <w:vAlign w:val="center"/>
                </w:tcPr>
                <w:p>
                  <w:pPr>
                    <w:pStyle w:val="2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TN</w:t>
                  </w:r>
                </w:p>
              </w:tc>
              <w:tc>
                <w:tcPr>
                  <w:tcW w:w="932" w:type="pct"/>
                  <w:tcBorders>
                    <w:tl2br w:val="nil"/>
                    <w:tr2bl w:val="nil"/>
                  </w:tcBorders>
                  <w:noWrap w:val="0"/>
                  <w:vAlign w:val="center"/>
                </w:tcPr>
                <w:p>
                  <w:pPr>
                    <w:pStyle w:val="2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38</w:t>
                  </w:r>
                </w:p>
              </w:tc>
              <w:tc>
                <w:tcPr>
                  <w:tcW w:w="933" w:type="pct"/>
                  <w:tcBorders>
                    <w:tl2br w:val="nil"/>
                    <w:tr2bl w:val="nil"/>
                  </w:tcBorders>
                  <w:noWrap w:val="0"/>
                  <w:vAlign w:val="center"/>
                </w:tcPr>
                <w:p>
                  <w:pPr>
                    <w:pStyle w:val="2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15</w:t>
                  </w:r>
                </w:p>
              </w:tc>
              <w:tc>
                <w:tcPr>
                  <w:tcW w:w="9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9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1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p>
              </w:tc>
              <w:tc>
                <w:tcPr>
                  <w:tcW w:w="546" w:type="pct"/>
                  <w:tcBorders>
                    <w:tl2br w:val="nil"/>
                    <w:tr2bl w:val="nil"/>
                  </w:tcBorders>
                  <w:noWrap w:val="0"/>
                  <w:vAlign w:val="center"/>
                </w:tcPr>
                <w:p>
                  <w:pPr>
                    <w:pStyle w:val="2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TP</w:t>
                  </w:r>
                </w:p>
              </w:tc>
              <w:tc>
                <w:tcPr>
                  <w:tcW w:w="932" w:type="pct"/>
                  <w:tcBorders>
                    <w:tl2br w:val="nil"/>
                    <w:tr2bl w:val="nil"/>
                  </w:tcBorders>
                  <w:noWrap w:val="0"/>
                  <w:vAlign w:val="center"/>
                </w:tcPr>
                <w:p>
                  <w:pPr>
                    <w:pStyle w:val="2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933" w:type="pct"/>
                  <w:tcBorders>
                    <w:tl2br w:val="nil"/>
                    <w:tr2bl w:val="nil"/>
                  </w:tcBorders>
                  <w:noWrap w:val="0"/>
                  <w:vAlign w:val="center"/>
                </w:tcPr>
                <w:p>
                  <w:pPr>
                    <w:pStyle w:val="2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w:t>
                  </w:r>
                </w:p>
              </w:tc>
              <w:tc>
                <w:tcPr>
                  <w:tcW w:w="9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w:t>
                  </w:r>
                </w:p>
              </w:tc>
              <w:tc>
                <w:tcPr>
                  <w:tcW w:w="9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lang w:val="en-US" w:eastAsia="zh-CN"/>
              </w:rPr>
            </w:pPr>
            <w:r>
              <w:rPr>
                <w:rFonts w:hint="default"/>
                <w:lang w:val="en-US" w:eastAsia="zh-CN"/>
              </w:rPr>
              <w:t>经分析，</w:t>
            </w:r>
            <w:r>
              <w:rPr>
                <w:rFonts w:hint="eastAsia"/>
                <w:lang w:val="en-US" w:eastAsia="zh-CN"/>
              </w:rPr>
              <w:t>污水处理站</w:t>
            </w:r>
            <w:r>
              <w:rPr>
                <w:rFonts w:hint="default"/>
              </w:rPr>
              <w:t>排放的污水水质能够满足河北省《农村生活污水排放标准》（</w:t>
            </w:r>
            <w:r>
              <w:rPr>
                <w:rFonts w:hint="default"/>
                <w:lang w:eastAsia="zh-CN"/>
              </w:rPr>
              <w:t>DB13</w:t>
            </w:r>
            <w:r>
              <w:rPr>
                <w:rFonts w:hint="default"/>
              </w:rPr>
              <w:t>/</w:t>
            </w:r>
            <w:r>
              <w:rPr>
                <w:rFonts w:hint="default"/>
                <w:lang w:eastAsia="zh-CN"/>
              </w:rPr>
              <w:t>2171</w:t>
            </w:r>
            <w:r>
              <w:rPr>
                <w:rFonts w:hint="default"/>
              </w:rPr>
              <w:t>-</w:t>
            </w:r>
            <w:r>
              <w:rPr>
                <w:rFonts w:hint="default"/>
                <w:lang w:eastAsia="zh-CN"/>
              </w:rPr>
              <w:t>20</w:t>
            </w:r>
            <w:r>
              <w:rPr>
                <w:rFonts w:hint="eastAsia"/>
                <w:lang w:val="en-US" w:eastAsia="zh-CN"/>
              </w:rPr>
              <w:t>20</w:t>
            </w:r>
            <w:r>
              <w:rPr>
                <w:rFonts w:hint="default"/>
              </w:rPr>
              <w:t>）一级</w:t>
            </w:r>
            <w:r>
              <w:rPr>
                <w:rFonts w:hint="default"/>
                <w:lang w:eastAsia="zh-CN"/>
              </w:rPr>
              <w:t>A</w:t>
            </w:r>
            <w:r>
              <w:rPr>
                <w:rFonts w:hint="default"/>
              </w:rPr>
              <w:t>标准</w:t>
            </w:r>
            <w:r>
              <w:rPr>
                <w:rFonts w:hint="default"/>
                <w:lang w:val="en-US" w:eastAsia="zh-CN"/>
              </w:rPr>
              <w:t>及《农田灌溉水质标准》（GB5084-20</w:t>
            </w:r>
            <w:r>
              <w:rPr>
                <w:rFonts w:hint="eastAsia"/>
                <w:lang w:val="en-US" w:eastAsia="zh-CN"/>
              </w:rPr>
              <w:t>21</w:t>
            </w:r>
            <w:r>
              <w:rPr>
                <w:rFonts w:hint="default"/>
                <w:lang w:val="en-US" w:eastAsia="zh-CN"/>
              </w:rPr>
              <w:t>）表1中蔬菜限值。</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rPr>
            </w:pPr>
            <w:r>
              <w:rPr>
                <w:rFonts w:hint="default"/>
              </w:rPr>
              <w:t>⑶尾水</w:t>
            </w:r>
            <w:r>
              <w:rPr>
                <w:rFonts w:hint="default"/>
                <w:lang w:eastAsia="zh-CN"/>
              </w:rPr>
              <w:t>灌溉</w:t>
            </w:r>
            <w:r>
              <w:rPr>
                <w:rFonts w:hint="default"/>
              </w:rPr>
              <w:t>可行性分析</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lang w:eastAsia="zh-CN"/>
              </w:rPr>
            </w:pPr>
            <w:r>
              <w:rPr>
                <w:rFonts w:hint="default"/>
              </w:rPr>
              <w:t>污水处理</w:t>
            </w:r>
            <w:r>
              <w:rPr>
                <w:rFonts w:hint="default"/>
                <w:lang w:eastAsia="zh-CN"/>
              </w:rPr>
              <w:t>站均在村内建设，</w:t>
            </w:r>
            <w:r>
              <w:rPr>
                <w:rFonts w:hint="eastAsia"/>
                <w:lang w:eastAsia="zh-CN"/>
              </w:rPr>
              <w:t>出水用于周围果树的灌溉</w:t>
            </w:r>
            <w:r>
              <w:rPr>
                <w:rFonts w:hint="default"/>
              </w:rPr>
              <w:t>，</w:t>
            </w:r>
            <w:r>
              <w:rPr>
                <w:rFonts w:hint="eastAsia"/>
                <w:lang w:eastAsia="zh-CN"/>
              </w:rPr>
              <w:t>并在果树地设置简易尾水池（池体用塑料膜铺底，上层采用覆土或无纺布做保护层），尾水采用水罐车定期抽运至村庄周边果树地内尾水池通过自流浇灌附近果树地，</w:t>
            </w:r>
            <w:r>
              <w:rPr>
                <w:rFonts w:hint="default"/>
              </w:rPr>
              <w:t>根据建设单位提供资料</w:t>
            </w:r>
            <w:r>
              <w:rPr>
                <w:rFonts w:hint="eastAsia"/>
                <w:lang w:eastAsia="zh-CN"/>
              </w:rPr>
              <w:t>，沥水沟</w:t>
            </w:r>
            <w:r>
              <w:rPr>
                <w:rFonts w:hint="default"/>
                <w:lang w:eastAsia="zh-CN"/>
              </w:rPr>
              <w:t>村</w:t>
            </w:r>
            <w:r>
              <w:rPr>
                <w:rFonts w:hint="eastAsia"/>
                <w:lang w:eastAsia="zh-CN"/>
              </w:rPr>
              <w:t>有果树</w:t>
            </w:r>
            <w:r>
              <w:rPr>
                <w:rFonts w:hint="eastAsia"/>
                <w:lang w:val="en-US" w:eastAsia="zh-CN"/>
              </w:rPr>
              <w:t>300亩</w:t>
            </w:r>
            <w:r>
              <w:rPr>
                <w:rFonts w:hint="default"/>
                <w:lang w:val="en-US" w:eastAsia="zh-CN"/>
              </w:rPr>
              <w:t>，</w:t>
            </w:r>
            <w:r>
              <w:rPr>
                <w:rFonts w:hint="default"/>
              </w:rPr>
              <w:t>按每亩用水量80</w:t>
            </w:r>
            <w:r>
              <w:rPr>
                <w:rFonts w:hint="default"/>
                <w:lang w:val="en-US" w:eastAsia="zh-CN"/>
              </w:rPr>
              <w:t>m</w:t>
            </w:r>
            <w:r>
              <w:rPr>
                <w:rFonts w:hint="default"/>
                <w:vertAlign w:val="superscript"/>
                <w:lang w:val="en-US" w:eastAsia="zh-CN"/>
              </w:rPr>
              <w:t>3</w:t>
            </w:r>
            <w:r>
              <w:rPr>
                <w:rFonts w:hint="default"/>
              </w:rPr>
              <w:t>计算，经核算，</w:t>
            </w:r>
            <w:r>
              <w:rPr>
                <w:rFonts w:hint="eastAsia"/>
                <w:lang w:eastAsia="zh-CN"/>
              </w:rPr>
              <w:t>沥水沟</w:t>
            </w:r>
            <w:r>
              <w:rPr>
                <w:rFonts w:hint="default"/>
                <w:lang w:eastAsia="zh-CN"/>
              </w:rPr>
              <w:t>村</w:t>
            </w:r>
            <w:r>
              <w:rPr>
                <w:rFonts w:hint="default"/>
              </w:rPr>
              <w:t>年需灌溉水总量为</w:t>
            </w:r>
            <w:r>
              <w:rPr>
                <w:rFonts w:hint="eastAsia"/>
                <w:lang w:val="en-US" w:eastAsia="zh-CN"/>
              </w:rPr>
              <w:t>24000</w:t>
            </w:r>
            <w:r>
              <w:rPr>
                <w:rFonts w:hint="default"/>
              </w:rPr>
              <w:t>m</w:t>
            </w:r>
            <w:r>
              <w:rPr>
                <w:rFonts w:hint="default"/>
                <w:vertAlign w:val="superscript"/>
              </w:rPr>
              <w:t>3</w:t>
            </w:r>
            <w:r>
              <w:rPr>
                <w:rFonts w:hint="default"/>
              </w:rPr>
              <w:t>/a，污水处理站</w:t>
            </w:r>
            <w:r>
              <w:rPr>
                <w:rFonts w:hint="eastAsia"/>
                <w:lang w:eastAsia="zh-CN"/>
              </w:rPr>
              <w:t>总</w:t>
            </w:r>
            <w:r>
              <w:rPr>
                <w:rFonts w:hint="default"/>
              </w:rPr>
              <w:t>年尾水产生量为</w:t>
            </w:r>
            <w:r>
              <w:rPr>
                <w:rFonts w:hint="eastAsia"/>
                <w:lang w:val="en-US" w:eastAsia="zh-CN"/>
              </w:rPr>
              <w:t>18250</w:t>
            </w:r>
            <w:r>
              <w:rPr>
                <w:rFonts w:hint="default"/>
              </w:rPr>
              <w:t>m</w:t>
            </w:r>
            <w:r>
              <w:rPr>
                <w:rFonts w:hint="default"/>
                <w:vertAlign w:val="superscript"/>
              </w:rPr>
              <w:t>3</w:t>
            </w:r>
            <w:r>
              <w:rPr>
                <w:rFonts w:hint="default"/>
              </w:rPr>
              <w:t>/a，故项目产生的尾水可全部被</w:t>
            </w:r>
            <w:r>
              <w:rPr>
                <w:rFonts w:hint="eastAsia"/>
                <w:lang w:eastAsia="zh-CN"/>
              </w:rPr>
              <w:t>果</w:t>
            </w:r>
            <w:r>
              <w:rPr>
                <w:rFonts w:hint="default"/>
              </w:rPr>
              <w:t>树灌溉消纳</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lang w:eastAsia="zh-CN"/>
              </w:rPr>
            </w:pPr>
            <w:r>
              <w:rPr>
                <w:rFonts w:hint="default"/>
              </w:rPr>
              <w:t>综上所述，本项目污水处理</w:t>
            </w:r>
            <w:r>
              <w:rPr>
                <w:rFonts w:hint="eastAsia"/>
                <w:lang w:eastAsia="zh-CN"/>
              </w:rPr>
              <w:t>站</w:t>
            </w:r>
            <w:r>
              <w:rPr>
                <w:rFonts w:hint="default"/>
              </w:rPr>
              <w:t>的处理工艺能够使生活污水处理达标，从经济技术角度分析可行，春、</w:t>
            </w:r>
            <w:r>
              <w:rPr>
                <w:rFonts w:hint="eastAsia"/>
                <w:lang w:eastAsia="zh-CN"/>
              </w:rPr>
              <w:t>夏、</w:t>
            </w:r>
            <w:r>
              <w:rPr>
                <w:rFonts w:hint="default"/>
              </w:rPr>
              <w:t>秋</w:t>
            </w:r>
            <w:r>
              <w:rPr>
                <w:rFonts w:hint="eastAsia"/>
                <w:lang w:eastAsia="zh-CN"/>
              </w:rPr>
              <w:t>季</w:t>
            </w:r>
            <w:r>
              <w:rPr>
                <w:rFonts w:hint="default"/>
              </w:rPr>
              <w:t>处理后的废水</w:t>
            </w:r>
            <w:r>
              <w:rPr>
                <w:rFonts w:hint="eastAsia"/>
                <w:lang w:eastAsia="zh-CN"/>
              </w:rPr>
              <w:t>用于</w:t>
            </w:r>
            <w:r>
              <w:rPr>
                <w:rFonts w:hint="eastAsia"/>
              </w:rPr>
              <w:t>农田灌溉</w:t>
            </w:r>
            <w:r>
              <w:rPr>
                <w:rFonts w:hint="default"/>
              </w:rPr>
              <w:t>，冬</w:t>
            </w:r>
            <w:r>
              <w:rPr>
                <w:rFonts w:hint="eastAsia"/>
                <w:lang w:eastAsia="zh-CN"/>
              </w:rPr>
              <w:t>季</w:t>
            </w:r>
            <w:r>
              <w:rPr>
                <w:rFonts w:hint="default"/>
              </w:rPr>
              <w:t>污水处理达标后作为</w:t>
            </w:r>
            <w:r>
              <w:rPr>
                <w:rFonts w:hint="eastAsia"/>
                <w:lang w:eastAsia="zh-CN"/>
              </w:rPr>
              <w:t>农田冬灌</w:t>
            </w:r>
            <w:r>
              <w:rPr>
                <w:rFonts w:hint="default"/>
              </w:rPr>
              <w:t>，既做到了废水资源化利用，同时也可避免居民生活污水散排对地表水体造成污染，对水环境造成影响较小</w:t>
            </w:r>
            <w:r>
              <w:rPr>
                <w:rFonts w:hint="eastAsia"/>
                <w:lang w:eastAsia="zh-CN"/>
              </w:rPr>
              <w:t>。</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rPr>
            </w:pPr>
            <w:r>
              <w:rPr>
                <w:rFonts w:hint="eastAsia"/>
                <w:lang w:val="en-US" w:eastAsia="zh-CN"/>
              </w:rPr>
              <w:t>2.3</w:t>
            </w:r>
            <w:r>
              <w:rPr>
                <w:rFonts w:hint="default"/>
              </w:rPr>
              <w:t>建设项目废水污染物排放信息表</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eastAsia"/>
                <w:lang w:eastAsia="zh-CN"/>
              </w:rPr>
            </w:pPr>
            <w:r>
              <w:rPr>
                <w:rFonts w:hint="eastAsia"/>
              </w:rPr>
              <w:t>建设项目废水类别、污染物及污染治理设施信息表见下表</w:t>
            </w:r>
            <w:r>
              <w:rPr>
                <w:rFonts w:hint="eastAsia"/>
                <w:lang w:val="en-US" w:eastAsia="zh-CN"/>
              </w:rPr>
              <w:t>：</w:t>
            </w:r>
          </w:p>
          <w:p>
            <w:pPr>
              <w:keepNext w:val="0"/>
              <w:keepLines w:val="0"/>
              <w:pageBreakBefore w:val="0"/>
              <w:kinsoku/>
              <w:wordWrap/>
              <w:overflowPunct/>
              <w:topLinePunct w:val="0"/>
              <w:bidi w:val="0"/>
              <w:adjustRightInd/>
              <w:snapToGrid/>
              <w:spacing w:line="240" w:lineRule="auto"/>
              <w:ind w:firstLine="422"/>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default" w:ascii="Times New Roman" w:hAnsi="Times New Roman" w:eastAsia="宋体" w:cs="Times New Roman"/>
                <w:b/>
                <w:bCs/>
                <w:sz w:val="21"/>
                <w:szCs w:val="21"/>
                <w:lang w:val="en-US" w:eastAsia="zh-CN"/>
              </w:rPr>
              <w:t>4-</w:t>
            </w:r>
            <w:r>
              <w:rPr>
                <w:rFonts w:hint="eastAsia" w:ascii="Times New Roman" w:hAnsi="Times New Roman" w:eastAsia="宋体" w:cs="Times New Roman"/>
                <w:b/>
                <w:bCs/>
                <w:sz w:val="21"/>
                <w:szCs w:val="21"/>
                <w:lang w:val="en-US" w:eastAsia="zh-CN"/>
              </w:rPr>
              <w:t>11</w:t>
            </w:r>
            <w:r>
              <w:rPr>
                <w:rFonts w:hint="default" w:ascii="Times New Roman" w:hAnsi="Times New Roman" w:eastAsia="宋体" w:cs="Times New Roman"/>
                <w:b/>
                <w:bCs/>
                <w:sz w:val="21"/>
                <w:szCs w:val="21"/>
              </w:rPr>
              <w:t xml:space="preserve">  废水类别、污染物及污染治理设施信息表</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0"/>
              <w:gridCol w:w="930"/>
              <w:gridCol w:w="1011"/>
              <w:gridCol w:w="846"/>
              <w:gridCol w:w="767"/>
              <w:gridCol w:w="767"/>
              <w:gridCol w:w="769"/>
              <w:gridCol w:w="830"/>
              <w:gridCol w:w="686"/>
              <w:gridCol w:w="778"/>
              <w:gridCol w:w="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3" w:hRule="atLeast"/>
                <w:jc w:val="center"/>
              </w:trPr>
              <w:tc>
                <w:tcPr>
                  <w:tcW w:w="262" w:type="pct"/>
                  <w:vMerge w:val="restart"/>
                  <w:noWrap w:val="0"/>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530" w:type="pct"/>
                  <w:vMerge w:val="restart"/>
                  <w:noWrap w:val="0"/>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废水类别</w:t>
                  </w:r>
                </w:p>
              </w:tc>
              <w:tc>
                <w:tcPr>
                  <w:tcW w:w="576" w:type="pct"/>
                  <w:vMerge w:val="restart"/>
                  <w:noWrap w:val="0"/>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污染物种类</w:t>
                  </w:r>
                </w:p>
              </w:tc>
              <w:tc>
                <w:tcPr>
                  <w:tcW w:w="482" w:type="pct"/>
                  <w:vMerge w:val="restart"/>
                  <w:noWrap w:val="0"/>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排放去向</w:t>
                  </w:r>
                </w:p>
              </w:tc>
              <w:tc>
                <w:tcPr>
                  <w:tcW w:w="437" w:type="pct"/>
                  <w:vMerge w:val="restart"/>
                  <w:noWrap w:val="0"/>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排放规律</w:t>
                  </w:r>
                </w:p>
              </w:tc>
              <w:tc>
                <w:tcPr>
                  <w:tcW w:w="1348" w:type="pct"/>
                  <w:gridSpan w:val="3"/>
                  <w:noWrap w:val="0"/>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污染治理设施</w:t>
                  </w:r>
                </w:p>
              </w:tc>
              <w:tc>
                <w:tcPr>
                  <w:tcW w:w="391" w:type="pct"/>
                  <w:vMerge w:val="restart"/>
                  <w:noWrap w:val="0"/>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排放口编号</w:t>
                  </w:r>
                </w:p>
              </w:tc>
              <w:tc>
                <w:tcPr>
                  <w:tcW w:w="443" w:type="pct"/>
                  <w:vMerge w:val="restart"/>
                  <w:noWrap w:val="0"/>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排放口设置是否符合要求</w:t>
                  </w:r>
                </w:p>
              </w:tc>
              <w:tc>
                <w:tcPr>
                  <w:tcW w:w="525" w:type="pct"/>
                  <w:vMerge w:val="restart"/>
                  <w:noWrap w:val="0"/>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262" w:type="pct"/>
                  <w:vMerge w:val="continue"/>
                  <w:noWrap w:val="0"/>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530" w:type="pct"/>
                  <w:vMerge w:val="continue"/>
                  <w:noWrap w:val="0"/>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576" w:type="pct"/>
                  <w:vMerge w:val="continue"/>
                  <w:noWrap w:val="0"/>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482" w:type="pct"/>
                  <w:vMerge w:val="continue"/>
                  <w:noWrap w:val="0"/>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437" w:type="pct"/>
                  <w:vMerge w:val="continue"/>
                  <w:noWrap w:val="0"/>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437" w:type="pct"/>
                  <w:noWrap w:val="0"/>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污染治理设施编号</w:t>
                  </w:r>
                </w:p>
              </w:tc>
              <w:tc>
                <w:tcPr>
                  <w:tcW w:w="438" w:type="pct"/>
                  <w:noWrap w:val="0"/>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污染治理设施名称</w:t>
                  </w:r>
                </w:p>
              </w:tc>
              <w:tc>
                <w:tcPr>
                  <w:tcW w:w="471" w:type="pct"/>
                  <w:noWrap w:val="0"/>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污染治理设施工艺</w:t>
                  </w:r>
                </w:p>
              </w:tc>
              <w:tc>
                <w:tcPr>
                  <w:tcW w:w="391" w:type="pct"/>
                  <w:vMerge w:val="continue"/>
                  <w:noWrap w:val="0"/>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443" w:type="pct"/>
                  <w:vMerge w:val="continue"/>
                  <w:noWrap w:val="0"/>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525" w:type="pct"/>
                  <w:vMerge w:val="continue"/>
                  <w:noWrap w:val="0"/>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3" w:hRule="atLeast"/>
                <w:jc w:val="center"/>
              </w:trPr>
              <w:tc>
                <w:tcPr>
                  <w:tcW w:w="262" w:type="pct"/>
                  <w:noWrap w:val="0"/>
                  <w:vAlign w:val="center"/>
                </w:tcPr>
                <w:p>
                  <w:pPr>
                    <w:keepNext w:val="0"/>
                    <w:keepLines w:val="0"/>
                    <w:pageBreakBefore w:val="0"/>
                    <w:tabs>
                      <w:tab w:val="left" w:pos="2604"/>
                    </w:tabs>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w:t>
                  </w:r>
                </w:p>
              </w:tc>
              <w:tc>
                <w:tcPr>
                  <w:tcW w:w="53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污水处理站</w:t>
                  </w:r>
                  <w:r>
                    <w:rPr>
                      <w:rFonts w:hint="default" w:ascii="Times New Roman" w:hAnsi="Times New Roman" w:eastAsia="宋体" w:cs="Times New Roman"/>
                      <w:sz w:val="21"/>
                      <w:szCs w:val="21"/>
                      <w:lang w:eastAsia="zh-CN"/>
                    </w:rPr>
                    <w:t>废水</w:t>
                  </w:r>
                </w:p>
              </w:tc>
              <w:tc>
                <w:tcPr>
                  <w:tcW w:w="576" w:type="pct"/>
                  <w:noWrap w:val="0"/>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pH、</w:t>
                  </w:r>
                  <w:r>
                    <w:rPr>
                      <w:rFonts w:hint="default" w:ascii="Times New Roman" w:hAnsi="Times New Roman" w:eastAsia="宋体" w:cs="Times New Roman"/>
                      <w:sz w:val="21"/>
                      <w:szCs w:val="21"/>
                    </w:rPr>
                    <w:t>COD</w:t>
                  </w:r>
                </w:p>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rPr>
                    <w:t>5</w:t>
                  </w:r>
                </w:p>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SS</w:t>
                  </w:r>
                </w:p>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-N</w:t>
                  </w:r>
                </w:p>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TN</w:t>
                  </w:r>
                </w:p>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TP</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482" w:type="pct"/>
                  <w:noWrap w:val="0"/>
                  <w:vAlign w:val="center"/>
                </w:tcPr>
                <w:p>
                  <w:pPr>
                    <w:keepNext w:val="0"/>
                    <w:keepLines w:val="0"/>
                    <w:pageBreakBefore w:val="0"/>
                    <w:tabs>
                      <w:tab w:val="left" w:pos="2604"/>
                    </w:tabs>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村民</w:t>
                  </w:r>
                  <w:r>
                    <w:rPr>
                      <w:rFonts w:hint="default" w:ascii="Times New Roman" w:hAnsi="Times New Roman" w:eastAsia="宋体" w:cs="Times New Roman"/>
                      <w:sz w:val="21"/>
                      <w:szCs w:val="21"/>
                    </w:rPr>
                    <w:t>生活污水经污水管网排入化粪池</w:t>
                  </w:r>
                  <w:r>
                    <w:rPr>
                      <w:rFonts w:hint="default" w:ascii="Times New Roman" w:hAnsi="Times New Roman" w:eastAsia="宋体" w:cs="Times New Roman"/>
                      <w:sz w:val="21"/>
                      <w:szCs w:val="21"/>
                      <w:lang w:eastAsia="zh-CN"/>
                    </w:rPr>
                    <w:t>后进入</w:t>
                  </w:r>
                  <w:r>
                    <w:rPr>
                      <w:rFonts w:hint="default" w:ascii="Times New Roman" w:hAnsi="Times New Roman" w:eastAsia="宋体" w:cs="Times New Roman"/>
                      <w:sz w:val="21"/>
                      <w:szCs w:val="21"/>
                    </w:rPr>
                    <w:t>污水处理站，经过处理达标后</w:t>
                  </w:r>
                  <w:r>
                    <w:rPr>
                      <w:rFonts w:hint="default" w:ascii="Times New Roman" w:hAnsi="Times New Roman" w:eastAsia="宋体" w:cs="Times New Roman"/>
                      <w:sz w:val="21"/>
                      <w:szCs w:val="21"/>
                      <w:lang w:eastAsia="zh-CN"/>
                    </w:rPr>
                    <w:t>用于</w:t>
                  </w:r>
                  <w:r>
                    <w:rPr>
                      <w:rFonts w:hint="default" w:ascii="Times New Roman" w:hAnsi="Times New Roman" w:eastAsia="宋体" w:cs="Times New Roman"/>
                      <w:sz w:val="21"/>
                      <w:szCs w:val="21"/>
                    </w:rPr>
                    <w:t>农田灌溉、</w:t>
                  </w:r>
                  <w:r>
                    <w:rPr>
                      <w:rFonts w:hint="default" w:ascii="Times New Roman" w:hAnsi="Times New Roman" w:eastAsia="宋体" w:cs="Times New Roman"/>
                      <w:sz w:val="21"/>
                      <w:szCs w:val="21"/>
                      <w:lang w:val="en-US" w:eastAsia="zh-CN"/>
                    </w:rPr>
                    <w:t>冬季用于农田冬灌</w:t>
                  </w:r>
                  <w:r>
                    <w:rPr>
                      <w:rFonts w:hint="default" w:ascii="Times New Roman" w:hAnsi="Times New Roman" w:eastAsia="宋体" w:cs="Times New Roman"/>
                      <w:sz w:val="21"/>
                      <w:szCs w:val="21"/>
                    </w:rPr>
                    <w:t>。</w:t>
                  </w:r>
                </w:p>
              </w:tc>
              <w:tc>
                <w:tcPr>
                  <w:tcW w:w="437" w:type="pct"/>
                  <w:noWrap w:val="0"/>
                  <w:vAlign w:val="center"/>
                </w:tcPr>
                <w:p>
                  <w:pPr>
                    <w:keepNext w:val="0"/>
                    <w:keepLines w:val="0"/>
                    <w:pageBreakBefore w:val="0"/>
                    <w:tabs>
                      <w:tab w:val="left" w:pos="2604"/>
                    </w:tabs>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间断排放，排放期间流量不稳定且无规律，但不属于冲击型排放</w:t>
                  </w:r>
                </w:p>
              </w:tc>
              <w:tc>
                <w:tcPr>
                  <w:tcW w:w="437" w:type="pct"/>
                  <w:noWrap w:val="0"/>
                  <w:vAlign w:val="center"/>
                </w:tcPr>
                <w:p>
                  <w:pPr>
                    <w:keepNext w:val="0"/>
                    <w:keepLines w:val="0"/>
                    <w:pageBreakBefore w:val="0"/>
                    <w:tabs>
                      <w:tab w:val="left" w:pos="2604"/>
                    </w:tabs>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p>
              </w:tc>
              <w:tc>
                <w:tcPr>
                  <w:tcW w:w="438" w:type="pct"/>
                  <w:noWrap w:val="0"/>
                  <w:vAlign w:val="center"/>
                </w:tcPr>
                <w:p>
                  <w:pPr>
                    <w:keepNext w:val="0"/>
                    <w:keepLines w:val="0"/>
                    <w:pageBreakBefore w:val="0"/>
                    <w:tabs>
                      <w:tab w:val="left" w:pos="2604"/>
                    </w:tabs>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污水处理站</w:t>
                  </w:r>
                </w:p>
              </w:tc>
              <w:tc>
                <w:tcPr>
                  <w:tcW w:w="471" w:type="pct"/>
                  <w:noWrap w:val="0"/>
                  <w:vAlign w:val="center"/>
                </w:tcPr>
                <w:p>
                  <w:pPr>
                    <w:keepNext w:val="0"/>
                    <w:keepLines w:val="0"/>
                    <w:pageBreakBefore w:val="0"/>
                    <w:tabs>
                      <w:tab w:val="left" w:pos="2604"/>
                    </w:tabs>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rPr>
                    <w:t>/O + MBR</w:t>
                  </w:r>
                </w:p>
              </w:tc>
              <w:tc>
                <w:tcPr>
                  <w:tcW w:w="391" w:type="pct"/>
                  <w:noWrap w:val="0"/>
                  <w:vAlign w:val="center"/>
                </w:tcPr>
                <w:p>
                  <w:pPr>
                    <w:keepNext w:val="0"/>
                    <w:keepLines w:val="0"/>
                    <w:pageBreakBefore w:val="0"/>
                    <w:tabs>
                      <w:tab w:val="left" w:pos="2604"/>
                    </w:tabs>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p>
              </w:tc>
              <w:tc>
                <w:tcPr>
                  <w:tcW w:w="443" w:type="pct"/>
                  <w:noWrap w:val="0"/>
                  <w:vAlign w:val="center"/>
                </w:tcPr>
                <w:p>
                  <w:pPr>
                    <w:keepNext w:val="0"/>
                    <w:keepLines w:val="0"/>
                    <w:pageBreakBefore w:val="0"/>
                    <w:tabs>
                      <w:tab w:val="left" w:pos="2604"/>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sym w:font="Wingdings 2" w:char="0052"/>
                  </w:r>
                  <w:r>
                    <w:rPr>
                      <w:rFonts w:hint="default" w:ascii="Times New Roman" w:hAnsi="Times New Roman" w:eastAsia="宋体" w:cs="Times New Roman"/>
                      <w:sz w:val="21"/>
                      <w:szCs w:val="21"/>
                      <w:lang w:eastAsia="zh-CN"/>
                    </w:rPr>
                    <w:t>是</w:t>
                  </w:r>
                </w:p>
                <w:p>
                  <w:pPr>
                    <w:keepNext w:val="0"/>
                    <w:keepLines w:val="0"/>
                    <w:pageBreakBefore w:val="0"/>
                    <w:tabs>
                      <w:tab w:val="left" w:pos="2604"/>
                    </w:tabs>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sym w:font="Wingdings 2" w:char="00A3"/>
                  </w:r>
                  <w:r>
                    <w:rPr>
                      <w:rFonts w:hint="default" w:ascii="Times New Roman" w:hAnsi="Times New Roman" w:eastAsia="宋体" w:cs="Times New Roman"/>
                      <w:sz w:val="21"/>
                      <w:szCs w:val="21"/>
                      <w:lang w:eastAsia="zh-CN"/>
                    </w:rPr>
                    <w:t>否</w:t>
                  </w:r>
                </w:p>
              </w:tc>
              <w:tc>
                <w:tcPr>
                  <w:tcW w:w="525" w:type="pct"/>
                  <w:noWrap w:val="0"/>
                  <w:vAlign w:val="center"/>
                </w:tcPr>
                <w:p>
                  <w:pPr>
                    <w:keepNext w:val="0"/>
                    <w:keepLines w:val="0"/>
                    <w:pageBreakBefore w:val="0"/>
                    <w:tabs>
                      <w:tab w:val="left" w:pos="2604"/>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sym w:font="Wingdings 2" w:char="00A3"/>
                  </w:r>
                  <w:r>
                    <w:rPr>
                      <w:rFonts w:hint="default" w:ascii="Times New Roman" w:hAnsi="Times New Roman" w:eastAsia="宋体" w:cs="Times New Roman"/>
                      <w:sz w:val="21"/>
                      <w:szCs w:val="21"/>
                      <w:lang w:eastAsia="zh-CN"/>
                    </w:rPr>
                    <w:t>企业总排</w:t>
                  </w:r>
                </w:p>
                <w:p>
                  <w:pPr>
                    <w:keepNext w:val="0"/>
                    <w:keepLines w:val="0"/>
                    <w:pageBreakBefore w:val="0"/>
                    <w:tabs>
                      <w:tab w:val="left" w:pos="2604"/>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sym w:font="Wingdings 2" w:char="00A3"/>
                  </w:r>
                  <w:r>
                    <w:rPr>
                      <w:rFonts w:hint="default" w:ascii="Times New Roman" w:hAnsi="Times New Roman" w:eastAsia="宋体" w:cs="Times New Roman"/>
                      <w:sz w:val="21"/>
                      <w:szCs w:val="21"/>
                      <w:lang w:eastAsia="zh-CN"/>
                    </w:rPr>
                    <w:t>雨水排放</w:t>
                  </w:r>
                </w:p>
                <w:p>
                  <w:pPr>
                    <w:keepNext w:val="0"/>
                    <w:keepLines w:val="0"/>
                    <w:pageBreakBefore w:val="0"/>
                    <w:tabs>
                      <w:tab w:val="left" w:pos="2604"/>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sym w:font="Wingdings 2" w:char="00A3"/>
                  </w:r>
                  <w:r>
                    <w:rPr>
                      <w:rFonts w:hint="default" w:ascii="Times New Roman" w:hAnsi="Times New Roman" w:eastAsia="宋体" w:cs="Times New Roman"/>
                      <w:sz w:val="21"/>
                      <w:szCs w:val="21"/>
                      <w:lang w:eastAsia="zh-CN"/>
                    </w:rPr>
                    <w:t>清净下水排放</w:t>
                  </w:r>
                </w:p>
                <w:p>
                  <w:pPr>
                    <w:keepNext w:val="0"/>
                    <w:keepLines w:val="0"/>
                    <w:pageBreakBefore w:val="0"/>
                    <w:tabs>
                      <w:tab w:val="left" w:pos="2604"/>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sym w:font="Wingdings 2" w:char="00A3"/>
                  </w:r>
                  <w:r>
                    <w:rPr>
                      <w:rFonts w:hint="default" w:ascii="Times New Roman" w:hAnsi="Times New Roman" w:eastAsia="宋体" w:cs="Times New Roman"/>
                      <w:sz w:val="21"/>
                      <w:szCs w:val="21"/>
                      <w:lang w:eastAsia="zh-CN"/>
                    </w:rPr>
                    <w:t>温排水排放</w:t>
                  </w:r>
                </w:p>
                <w:p>
                  <w:pPr>
                    <w:keepNext w:val="0"/>
                    <w:keepLines w:val="0"/>
                    <w:pageBreakBefore w:val="0"/>
                    <w:tabs>
                      <w:tab w:val="left" w:pos="2604"/>
                    </w:tabs>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sym w:font="Wingdings 2" w:char="00A3"/>
                  </w:r>
                  <w:r>
                    <w:rPr>
                      <w:rFonts w:hint="default" w:ascii="Times New Roman" w:hAnsi="Times New Roman" w:eastAsia="宋体" w:cs="Times New Roman"/>
                      <w:sz w:val="21"/>
                      <w:szCs w:val="21"/>
                      <w:lang w:eastAsia="zh-CN"/>
                    </w:rPr>
                    <w:t>车间或车间处理设施排放口</w:t>
                  </w:r>
                </w:p>
              </w:tc>
            </w:tr>
          </w:tbl>
          <w:p>
            <w:pPr>
              <w:keepNext w:val="0"/>
              <w:keepLines w:val="0"/>
              <w:pageBreakBefore w:val="0"/>
              <w:widowControl w:val="0"/>
              <w:kinsoku/>
              <w:wordWrap/>
              <w:overflowPunct/>
              <w:topLinePunct w:val="0"/>
              <w:autoSpaceDE w:val="0"/>
              <w:autoSpaceDN w:val="0"/>
              <w:bidi w:val="0"/>
              <w:adjustRightInd/>
              <w:snapToGrid/>
              <w:spacing w:line="500" w:lineRule="exact"/>
              <w:ind w:firstLine="482" w:firstLineChars="200"/>
              <w:jc w:val="left"/>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3、声环境</w:t>
            </w:r>
          </w:p>
          <w:p>
            <w:pPr>
              <w:pStyle w:val="7"/>
              <w:keepNext w:val="0"/>
              <w:keepLines w:val="0"/>
              <w:pageBreakBefore w:val="0"/>
              <w:widowControl w:val="0"/>
              <w:kinsoku/>
              <w:wordWrap/>
              <w:overflowPunct/>
              <w:topLinePunct w:val="0"/>
              <w:bidi w:val="0"/>
              <w:spacing w:line="500" w:lineRule="exact"/>
              <w:ind w:firstLine="512"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3.1噪声源强及降噪措施</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1</w:t>
            </w:r>
            <w:r>
              <w:rPr>
                <w:rFonts w:hint="default" w:ascii="Times New Roman" w:hAnsi="Times New Roman" w:eastAsia="宋体" w:cs="Times New Roman"/>
                <w:lang w:eastAsia="zh-CN"/>
              </w:rPr>
              <w:t>）噪声源强</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项目生产运行阶段的噪声主要是污水处理站各机械设备噪声、风机、泵类等噪声。根据类比分析，风机噪声源强一般为85dB（A），泵类噪声源强一般为85dB（A），设备噪声源强一般为</w:t>
            </w:r>
            <w:r>
              <w:rPr>
                <w:rFonts w:hint="default" w:ascii="Times New Roman" w:hAnsi="Times New Roman" w:eastAsia="宋体" w:cs="Times New Roman"/>
                <w:lang w:val="en-US" w:eastAsia="zh-CN"/>
              </w:rPr>
              <w:t>90</w:t>
            </w:r>
            <w:r>
              <w:rPr>
                <w:rFonts w:hint="default" w:ascii="Times New Roman" w:hAnsi="Times New Roman" w:eastAsia="宋体" w:cs="Times New Roman"/>
              </w:rPr>
              <w:t>dB（A）。</w:t>
            </w:r>
          </w:p>
          <w:p>
            <w:pPr>
              <w:keepNext w:val="0"/>
              <w:keepLines w:val="0"/>
              <w:pageBreakBefore w:val="0"/>
              <w:widowControl w:val="0"/>
              <w:kinsoku/>
              <w:wordWrap/>
              <w:overflowPunct/>
              <w:topLinePunct w:val="0"/>
              <w:autoSpaceDE/>
              <w:autoSpaceDN/>
              <w:bidi w:val="0"/>
              <w:adjustRightInd/>
              <w:snapToGrid/>
              <w:spacing w:line="500" w:lineRule="exact"/>
              <w:ind w:right="0" w:firstLine="480" w:firstLineChars="20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rPr>
              <w:t>项目污水处理站各池体属于地埋式，产生噪声的设备均埋在地下，通过选用低噪声设备，设备基础减振，合理安排各设备的位置、污水处理站厂区四周进行绿化隔离等措施，降低项目噪声的排放。采取上述措施后，可综合降噪</w:t>
            </w:r>
            <w:r>
              <w:rPr>
                <w:rFonts w:hint="default" w:ascii="Times New Roman" w:hAnsi="Times New Roman" w:eastAsia="宋体" w:cs="Times New Roman"/>
                <w:lang w:val="en-US" w:eastAsia="zh-CN"/>
              </w:rPr>
              <w:t>20</w:t>
            </w:r>
            <w:r>
              <w:rPr>
                <w:rFonts w:hint="default" w:ascii="Times New Roman" w:hAnsi="Times New Roman" w:eastAsia="宋体" w:cs="Times New Roman"/>
              </w:rPr>
              <w:t>dB(A)。</w:t>
            </w:r>
          </w:p>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4-12</w:t>
            </w:r>
            <w:r>
              <w:rPr>
                <w:rFonts w:hint="default" w:ascii="Times New Roman" w:hAnsi="Times New Roman" w:eastAsia="宋体" w:cs="Times New Roman"/>
                <w:b/>
                <w:bCs/>
                <w:sz w:val="21"/>
                <w:szCs w:val="21"/>
              </w:rPr>
              <w:t xml:space="preserve">  噪声污染源强及治理措施表</w:t>
            </w:r>
          </w:p>
          <w:tbl>
            <w:tblPr>
              <w:tblStyle w:val="15"/>
              <w:tblW w:w="4998" w:type="pct"/>
              <w:jc w:val="center"/>
              <w:tblBorders>
                <w:top w:val="single" w:color="auto" w:sz="6" w:space="0"/>
                <w:left w:val="single" w:color="auto" w:sz="6" w:space="0"/>
                <w:bottom w:val="single" w:color="auto" w:sz="4"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2155"/>
              <w:gridCol w:w="2404"/>
              <w:gridCol w:w="2404"/>
            </w:tblGrid>
            <w:tr>
              <w:tblPrEx>
                <w:tblBorders>
                  <w:top w:val="single" w:color="auto" w:sz="6" w:space="0"/>
                  <w:left w:val="single" w:color="auto" w:sz="6" w:space="0"/>
                  <w:bottom w:val="single" w:color="auto" w:sz="4"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7"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噪声源</w:t>
                  </w:r>
                </w:p>
              </w:tc>
              <w:tc>
                <w:tcPr>
                  <w:tcW w:w="122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源强/dB（A）</w:t>
                  </w:r>
                </w:p>
              </w:tc>
              <w:tc>
                <w:tcPr>
                  <w:tcW w:w="1371"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数量（台、套）</w:t>
                  </w:r>
                </w:p>
              </w:tc>
              <w:tc>
                <w:tcPr>
                  <w:tcW w:w="1371"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降噪后声源</w:t>
                  </w:r>
                </w:p>
              </w:tc>
            </w:tr>
            <w:tr>
              <w:tblPrEx>
                <w:tblBorders>
                  <w:top w:val="single" w:color="auto" w:sz="6" w:space="0"/>
                  <w:left w:val="single" w:color="auto" w:sz="6" w:space="0"/>
                  <w:bottom w:val="single" w:color="auto" w:sz="4"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7" w:type="pct"/>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val="0"/>
                    <w:snapToGrid/>
                    <w:spacing w:line="240" w:lineRule="auto"/>
                    <w:ind w:right="0" w:firstLine="0" w:firstLineChars="0"/>
                    <w:textAlignment w:val="baseline"/>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泵</w:t>
                  </w:r>
                </w:p>
              </w:tc>
              <w:tc>
                <w:tcPr>
                  <w:tcW w:w="12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75</w:t>
                  </w:r>
                </w:p>
              </w:tc>
              <w:tc>
                <w:tcPr>
                  <w:tcW w:w="13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1</w:t>
                  </w:r>
                </w:p>
              </w:tc>
              <w:tc>
                <w:tcPr>
                  <w:tcW w:w="13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55</w:t>
                  </w:r>
                </w:p>
              </w:tc>
            </w:tr>
            <w:tr>
              <w:tblPrEx>
                <w:tblBorders>
                  <w:top w:val="single" w:color="auto" w:sz="6" w:space="0"/>
                  <w:left w:val="single" w:color="auto" w:sz="6" w:space="0"/>
                  <w:bottom w:val="single" w:color="auto" w:sz="4"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7" w:type="pct"/>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val="0"/>
                    <w:snapToGrid/>
                    <w:spacing w:line="240" w:lineRule="auto"/>
                    <w:ind w:right="0" w:firstLine="0" w:firstLineChars="0"/>
                    <w:textAlignment w:val="baseline"/>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一体化设备</w:t>
                  </w:r>
                </w:p>
              </w:tc>
              <w:tc>
                <w:tcPr>
                  <w:tcW w:w="12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85</w:t>
                  </w:r>
                </w:p>
              </w:tc>
              <w:tc>
                <w:tcPr>
                  <w:tcW w:w="13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3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65</w:t>
                  </w:r>
                </w:p>
              </w:tc>
            </w:tr>
          </w:tbl>
          <w:p>
            <w:pPr>
              <w:keepNext w:val="0"/>
              <w:keepLines w:val="0"/>
              <w:pageBreakBefore w:val="0"/>
              <w:widowControl w:val="0"/>
              <w:kinsoku/>
              <w:wordWrap/>
              <w:overflowPunct/>
              <w:topLinePunct w:val="0"/>
              <w:bidi w:val="0"/>
              <w:adjustRightInd/>
              <w:snapToGrid/>
              <w:spacing w:line="500" w:lineRule="exact"/>
              <w:ind w:left="0" w:leftChars="0" w:right="0" w:firstLine="480" w:firstLineChars="200"/>
              <w:jc w:val="left"/>
              <w:textAlignment w:val="auto"/>
              <w:rPr>
                <w:rFonts w:hint="eastAsia"/>
              </w:rPr>
            </w:pPr>
            <w:r>
              <w:rPr>
                <w:rFonts w:hint="default"/>
                <w:lang w:val="zh-CN"/>
              </w:rPr>
              <w:t>噪声预测：</w:t>
            </w:r>
            <w:r>
              <w:rPr>
                <w:rFonts w:hint="eastAsia"/>
              </w:rPr>
              <w:t>选用《环境影响评价技术导则</w:t>
            </w:r>
            <w:r>
              <w:t xml:space="preserve">  </w:t>
            </w:r>
            <w:r>
              <w:rPr>
                <w:rFonts w:hint="eastAsia"/>
              </w:rPr>
              <w:t>声环境》（</w:t>
            </w:r>
            <w:r>
              <w:t>HJ/T2.4-20</w:t>
            </w:r>
            <w:r>
              <w:rPr>
                <w:rFonts w:hint="eastAsia"/>
                <w:lang w:val="en-US" w:eastAsia="zh-CN"/>
              </w:rPr>
              <w:t>1</w:t>
            </w:r>
            <w:r>
              <w:t>9</w:t>
            </w:r>
            <w:r>
              <w:rPr>
                <w:rFonts w:hint="eastAsia"/>
              </w:rPr>
              <w:t>）中推荐的预测模式预测项目噪声对厂界声环境及对周边保护目标的影响。</w:t>
            </w:r>
          </w:p>
          <w:p>
            <w:pPr>
              <w:keepNext w:val="0"/>
              <w:keepLines w:val="0"/>
              <w:pageBreakBefore w:val="0"/>
              <w:widowControl w:val="0"/>
              <w:kinsoku/>
              <w:wordWrap/>
              <w:overflowPunct/>
              <w:topLinePunct w:val="0"/>
              <w:autoSpaceDE/>
              <w:autoSpaceDN/>
              <w:bidi w:val="0"/>
              <w:adjustRightInd/>
              <w:snapToGrid/>
              <w:spacing w:line="500" w:lineRule="exact"/>
              <w:ind w:right="0" w:firstLine="480" w:firstLineChars="200"/>
              <w:jc w:val="left"/>
              <w:textAlignment w:val="auto"/>
              <w:rPr>
                <w:rFonts w:hint="default"/>
                <w:lang w:val="en-US" w:eastAsia="zh-CN"/>
              </w:rPr>
            </w:pPr>
            <w:r>
              <w:rPr>
                <w:rFonts w:hint="eastAsia"/>
              </w:rPr>
              <w:t>预测软件：使用石家庄环安科技有限公司的噪声环境影响评价系统（</w:t>
            </w:r>
            <w:r>
              <w:t>NoiseSystem</w:t>
            </w:r>
            <w:r>
              <w:rPr>
                <w:rFonts w:hint="eastAsia"/>
              </w:rPr>
              <w:t>）</w:t>
            </w:r>
            <w:r>
              <w:t>2012</w:t>
            </w:r>
            <w:r>
              <w:rPr>
                <w:rFonts w:hint="eastAsia"/>
              </w:rPr>
              <w:t>标准版（版本</w:t>
            </w:r>
            <w:r>
              <w:t>3.</w:t>
            </w:r>
            <w:r>
              <w:rPr>
                <w:rFonts w:hint="eastAsia"/>
                <w:lang w:val="en-US" w:eastAsia="zh-CN"/>
              </w:rPr>
              <w:t>3</w:t>
            </w:r>
            <w:r>
              <w:t>.1.20992</w:t>
            </w:r>
            <w:r>
              <w:rPr>
                <w:rFonts w:hint="eastAsia"/>
              </w:rPr>
              <w:t>）进行噪声预测。预测过程中，各噪声设备在一定的距离处可以被视作点源，设备所处位置、与墙壁的离距、与预测点的距离、隔墙厚度等均按实际布设确定，</w:t>
            </w:r>
            <w:r>
              <w:rPr>
                <w:rFonts w:hint="eastAsia"/>
                <w:lang w:eastAsia="zh-CN"/>
              </w:rPr>
              <w:t>未</w:t>
            </w:r>
            <w:r>
              <w:rPr>
                <w:rFonts w:hint="eastAsia"/>
              </w:rPr>
              <w:t>考虑地形因素的影响。</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4-13</w:t>
            </w:r>
            <w:r>
              <w:rPr>
                <w:rFonts w:hint="default" w:ascii="Times New Roman" w:hAnsi="Times New Roman" w:eastAsia="宋体" w:cs="Times New Roman"/>
                <w:b/>
                <w:bCs/>
                <w:sz w:val="21"/>
                <w:szCs w:val="21"/>
              </w:rPr>
              <w:t xml:space="preserve">  </w:t>
            </w:r>
            <w:r>
              <w:rPr>
                <w:rFonts w:hint="default" w:ascii="Times New Roman" w:hAnsi="Times New Roman" w:eastAsia="宋体" w:cs="Times New Roman"/>
                <w:b/>
                <w:bCs/>
                <w:sz w:val="21"/>
                <w:szCs w:val="21"/>
                <w:lang w:val="en-US" w:eastAsia="zh-CN"/>
              </w:rPr>
              <w:t>各噪声源到</w:t>
            </w:r>
            <w:r>
              <w:rPr>
                <w:rFonts w:hint="default" w:ascii="Times New Roman" w:hAnsi="Times New Roman" w:eastAsia="宋体" w:cs="Times New Roman"/>
                <w:b/>
                <w:bCs/>
                <w:sz w:val="21"/>
                <w:szCs w:val="21"/>
              </w:rPr>
              <w:t>各厂界的噪声</w:t>
            </w:r>
            <w:r>
              <w:rPr>
                <w:rFonts w:hint="default" w:ascii="Times New Roman" w:hAnsi="Times New Roman" w:eastAsia="宋体" w:cs="Times New Roman"/>
                <w:b/>
                <w:bCs/>
                <w:sz w:val="21"/>
                <w:szCs w:val="21"/>
                <w:lang w:eastAsia="zh-CN"/>
              </w:rPr>
              <w:t>叠加</w:t>
            </w:r>
            <w:r>
              <w:rPr>
                <w:rFonts w:hint="default" w:ascii="Times New Roman" w:hAnsi="Times New Roman" w:eastAsia="宋体" w:cs="Times New Roman"/>
                <w:b/>
                <w:bCs/>
                <w:sz w:val="21"/>
                <w:szCs w:val="21"/>
              </w:rPr>
              <w:t>值</w:t>
            </w:r>
            <w:r>
              <w:rPr>
                <w:rFonts w:hint="default" w:ascii="Times New Roman" w:hAnsi="Times New Roman" w:eastAsia="宋体" w:cs="Times New Roman"/>
                <w:b/>
                <w:bCs/>
                <w:sz w:val="21"/>
                <w:szCs w:val="21"/>
                <w:lang w:eastAsia="zh-CN"/>
              </w:rPr>
              <w:t>及达标分析</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19"/>
              <w:gridCol w:w="880"/>
              <w:gridCol w:w="1322"/>
              <w:gridCol w:w="1504"/>
              <w:gridCol w:w="1990"/>
              <w:gridCol w:w="19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1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厂界</w:t>
                  </w:r>
                </w:p>
              </w:tc>
              <w:tc>
                <w:tcPr>
                  <w:tcW w:w="88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厂界</w:t>
                  </w:r>
                </w:p>
              </w:tc>
              <w:tc>
                <w:tcPr>
                  <w:tcW w:w="132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噪声贡献值dB（A）</w:t>
                  </w:r>
                </w:p>
              </w:tc>
              <w:tc>
                <w:tcPr>
                  <w:tcW w:w="349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标准值dB(A)</w:t>
                  </w:r>
                </w:p>
              </w:tc>
              <w:tc>
                <w:tcPr>
                  <w:tcW w:w="19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达标分析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1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z w:val="21"/>
                      <w:szCs w:val="21"/>
                    </w:rPr>
                  </w:pPr>
                </w:p>
              </w:tc>
              <w:tc>
                <w:tcPr>
                  <w:tcW w:w="8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z w:val="21"/>
                      <w:szCs w:val="21"/>
                    </w:rPr>
                  </w:pPr>
                </w:p>
              </w:tc>
              <w:tc>
                <w:tcPr>
                  <w:tcW w:w="132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z w:val="21"/>
                      <w:szCs w:val="21"/>
                    </w:rPr>
                  </w:pPr>
                </w:p>
              </w:tc>
              <w:tc>
                <w:tcPr>
                  <w:tcW w:w="15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昼间</w:t>
                  </w:r>
                </w:p>
              </w:tc>
              <w:tc>
                <w:tcPr>
                  <w:tcW w:w="19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夜间</w:t>
                  </w:r>
                </w:p>
              </w:tc>
              <w:tc>
                <w:tcPr>
                  <w:tcW w:w="19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91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污水处理站 </w:t>
                  </w:r>
                </w:p>
              </w:tc>
              <w:tc>
                <w:tcPr>
                  <w:tcW w:w="8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东厂界</w:t>
                  </w:r>
                </w:p>
              </w:tc>
              <w:tc>
                <w:tcPr>
                  <w:tcW w:w="13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42.2</w:t>
                  </w:r>
                </w:p>
              </w:tc>
              <w:tc>
                <w:tcPr>
                  <w:tcW w:w="150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55</w:t>
                  </w:r>
                </w:p>
              </w:tc>
              <w:tc>
                <w:tcPr>
                  <w:tcW w:w="19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w:t>
                  </w:r>
                </w:p>
              </w:tc>
              <w:tc>
                <w:tcPr>
                  <w:tcW w:w="19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91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z w:val="21"/>
                      <w:szCs w:val="21"/>
                    </w:rPr>
                  </w:pPr>
                </w:p>
              </w:tc>
              <w:tc>
                <w:tcPr>
                  <w:tcW w:w="8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北厂界</w:t>
                  </w:r>
                </w:p>
              </w:tc>
              <w:tc>
                <w:tcPr>
                  <w:tcW w:w="13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36.08</w:t>
                  </w:r>
                </w:p>
              </w:tc>
              <w:tc>
                <w:tcPr>
                  <w:tcW w:w="15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z w:val="21"/>
                      <w:szCs w:val="21"/>
                    </w:rPr>
                  </w:pPr>
                </w:p>
              </w:tc>
              <w:tc>
                <w:tcPr>
                  <w:tcW w:w="19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z w:val="21"/>
                      <w:szCs w:val="21"/>
                    </w:rPr>
                  </w:pPr>
                </w:p>
              </w:tc>
              <w:tc>
                <w:tcPr>
                  <w:tcW w:w="19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91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z w:val="21"/>
                      <w:szCs w:val="21"/>
                    </w:rPr>
                  </w:pPr>
                </w:p>
              </w:tc>
              <w:tc>
                <w:tcPr>
                  <w:tcW w:w="8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南厂界</w:t>
                  </w:r>
                </w:p>
              </w:tc>
              <w:tc>
                <w:tcPr>
                  <w:tcW w:w="13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36.08</w:t>
                  </w:r>
                </w:p>
              </w:tc>
              <w:tc>
                <w:tcPr>
                  <w:tcW w:w="15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z w:val="21"/>
                      <w:szCs w:val="21"/>
                    </w:rPr>
                  </w:pPr>
                </w:p>
              </w:tc>
              <w:tc>
                <w:tcPr>
                  <w:tcW w:w="19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z w:val="21"/>
                      <w:szCs w:val="21"/>
                    </w:rPr>
                  </w:pPr>
                </w:p>
              </w:tc>
              <w:tc>
                <w:tcPr>
                  <w:tcW w:w="19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91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z w:val="21"/>
                      <w:szCs w:val="21"/>
                    </w:rPr>
                  </w:pPr>
                </w:p>
              </w:tc>
              <w:tc>
                <w:tcPr>
                  <w:tcW w:w="8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西厂界</w:t>
                  </w:r>
                </w:p>
              </w:tc>
              <w:tc>
                <w:tcPr>
                  <w:tcW w:w="13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40.8</w:t>
                  </w:r>
                </w:p>
              </w:tc>
              <w:tc>
                <w:tcPr>
                  <w:tcW w:w="15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70</w:t>
                  </w:r>
                </w:p>
              </w:tc>
              <w:tc>
                <w:tcPr>
                  <w:tcW w:w="19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55</w:t>
                  </w:r>
                </w:p>
              </w:tc>
              <w:tc>
                <w:tcPr>
                  <w:tcW w:w="19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z w:val="21"/>
                      <w:szCs w:val="21"/>
                    </w:rPr>
                  </w:pPr>
                </w:p>
              </w:tc>
            </w:tr>
          </w:tbl>
          <w:p>
            <w:pPr>
              <w:keepNext w:val="0"/>
              <w:keepLines w:val="0"/>
              <w:pageBreakBefore w:val="0"/>
              <w:widowControl w:val="0"/>
              <w:suppressAutoHyphens/>
              <w:kinsoku/>
              <w:wordWrap/>
              <w:overflowPunct/>
              <w:topLinePunct/>
              <w:autoSpaceDE/>
              <w:autoSpaceDN/>
              <w:bidi w:val="0"/>
              <w:adjustRightInd/>
              <w:snapToGrid/>
              <w:spacing w:line="500" w:lineRule="exact"/>
              <w:ind w:right="0" w:rightChars="0" w:firstLine="480" w:firstLineChars="20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lang w:eastAsia="zh-CN"/>
              </w:rPr>
              <w:t>由上表可知，</w:t>
            </w:r>
            <w:r>
              <w:rPr>
                <w:rFonts w:hint="default" w:ascii="Times New Roman" w:hAnsi="Times New Roman" w:eastAsia="宋体" w:cs="Times New Roman"/>
              </w:rPr>
              <w:t>采取上述措施后，再经距离衰减</w:t>
            </w:r>
            <w:r>
              <w:rPr>
                <w:rFonts w:hint="default" w:ascii="Times New Roman" w:hAnsi="Times New Roman" w:eastAsia="宋体" w:cs="Times New Roman"/>
                <w:lang w:eastAsia="zh-CN"/>
              </w:rPr>
              <w:t>，东、南、北侧</w:t>
            </w:r>
            <w:r>
              <w:rPr>
                <w:rFonts w:hint="default" w:ascii="Times New Roman" w:hAnsi="Times New Roman" w:eastAsia="宋体" w:cs="Times New Roman"/>
              </w:rPr>
              <w:t>厂界外噪声贡献值</w:t>
            </w:r>
            <w:r>
              <w:rPr>
                <w:rFonts w:hint="default" w:ascii="Times New Roman" w:hAnsi="Times New Roman" w:eastAsia="宋体" w:cs="Times New Roman"/>
                <w:lang w:eastAsia="zh-CN"/>
              </w:rPr>
              <w:t>均</w:t>
            </w:r>
            <w:r>
              <w:rPr>
                <w:rFonts w:hint="default" w:ascii="Times New Roman" w:hAnsi="Times New Roman" w:eastAsia="宋体" w:cs="Times New Roman"/>
              </w:rPr>
              <w:t>满足《工业企业厂界环境噪声排放标准》（GB12348-2008）</w:t>
            </w:r>
            <w:r>
              <w:rPr>
                <w:rFonts w:hint="default" w:ascii="Times New Roman" w:hAnsi="Times New Roman" w:eastAsia="宋体" w:cs="Times New Roman"/>
                <w:lang w:val="en-US" w:eastAsia="zh-CN"/>
              </w:rPr>
              <w:t>1</w:t>
            </w:r>
            <w:r>
              <w:rPr>
                <w:rFonts w:hint="default" w:ascii="Times New Roman" w:hAnsi="Times New Roman" w:eastAsia="宋体" w:cs="Times New Roman"/>
              </w:rPr>
              <w:t>类标准：昼间</w:t>
            </w:r>
            <w:r>
              <w:rPr>
                <w:rFonts w:hint="default" w:ascii="Times New Roman" w:hAnsi="Times New Roman" w:eastAsia="宋体" w:cs="Times New Roman"/>
                <w:lang w:val="en-US" w:eastAsia="zh-CN"/>
              </w:rPr>
              <w:t>55</w:t>
            </w:r>
            <w:r>
              <w:rPr>
                <w:rFonts w:hint="default" w:ascii="Times New Roman" w:hAnsi="Times New Roman" w:eastAsia="宋体" w:cs="Times New Roman"/>
              </w:rPr>
              <w:t>dB(A)，夜间</w:t>
            </w:r>
            <w:r>
              <w:rPr>
                <w:rFonts w:hint="default" w:ascii="Times New Roman" w:hAnsi="Times New Roman" w:eastAsia="宋体" w:cs="Times New Roman"/>
                <w:lang w:val="en-US" w:eastAsia="zh-CN"/>
              </w:rPr>
              <w:t>45</w:t>
            </w:r>
            <w:r>
              <w:rPr>
                <w:rFonts w:hint="default" w:ascii="Times New Roman" w:hAnsi="Times New Roman" w:eastAsia="宋体" w:cs="Times New Roman"/>
              </w:rPr>
              <w:t>dB(A)</w:t>
            </w:r>
            <w:r>
              <w:rPr>
                <w:rFonts w:hint="default" w:ascii="Times New Roman" w:hAnsi="Times New Roman" w:eastAsia="宋体" w:cs="Times New Roman"/>
                <w:lang w:eastAsia="zh-CN"/>
              </w:rPr>
              <w:t>的要求；西侧</w:t>
            </w:r>
            <w:r>
              <w:rPr>
                <w:rFonts w:hint="default" w:ascii="Times New Roman" w:hAnsi="Times New Roman" w:eastAsia="宋体" w:cs="Times New Roman"/>
              </w:rPr>
              <w:t>厂界外噪声贡献值</w:t>
            </w:r>
            <w:r>
              <w:rPr>
                <w:rFonts w:hint="default" w:ascii="Times New Roman" w:hAnsi="Times New Roman" w:eastAsia="宋体" w:cs="Times New Roman"/>
                <w:lang w:eastAsia="zh-CN"/>
              </w:rPr>
              <w:t>均</w:t>
            </w:r>
            <w:r>
              <w:rPr>
                <w:rFonts w:hint="default" w:ascii="Times New Roman" w:hAnsi="Times New Roman" w:eastAsia="宋体" w:cs="Times New Roman"/>
              </w:rPr>
              <w:t>满足《工业企业厂界环境噪声排放标准》（GB12348-2008）</w:t>
            </w:r>
            <w:r>
              <w:rPr>
                <w:rFonts w:hint="default" w:ascii="Times New Roman" w:hAnsi="Times New Roman" w:eastAsia="宋体" w:cs="Times New Roman"/>
                <w:lang w:val="en-US" w:eastAsia="zh-CN"/>
              </w:rPr>
              <w:t>4</w:t>
            </w:r>
            <w:r>
              <w:rPr>
                <w:rFonts w:hint="default" w:ascii="Times New Roman" w:hAnsi="Times New Roman" w:eastAsia="宋体" w:cs="Times New Roman"/>
              </w:rPr>
              <w:t>类标准：昼间</w:t>
            </w:r>
            <w:r>
              <w:rPr>
                <w:rFonts w:hint="default" w:ascii="Times New Roman" w:hAnsi="Times New Roman" w:eastAsia="宋体" w:cs="Times New Roman"/>
                <w:lang w:val="en-US" w:eastAsia="zh-CN"/>
              </w:rPr>
              <w:t>70</w:t>
            </w:r>
            <w:r>
              <w:rPr>
                <w:rFonts w:hint="default" w:ascii="Times New Roman" w:hAnsi="Times New Roman" w:eastAsia="宋体" w:cs="Times New Roman"/>
              </w:rPr>
              <w:t>dB(A)，夜间</w:t>
            </w:r>
            <w:r>
              <w:rPr>
                <w:rFonts w:hint="default" w:ascii="Times New Roman" w:hAnsi="Times New Roman" w:eastAsia="宋体" w:cs="Times New Roman"/>
                <w:lang w:val="en-US" w:eastAsia="zh-CN"/>
              </w:rPr>
              <w:t>55</w:t>
            </w:r>
            <w:r>
              <w:rPr>
                <w:rFonts w:hint="default" w:ascii="Times New Roman" w:hAnsi="Times New Roman" w:eastAsia="宋体" w:cs="Times New Roman"/>
              </w:rPr>
              <w:t>dB(A)</w:t>
            </w:r>
            <w:r>
              <w:rPr>
                <w:rFonts w:hint="default" w:ascii="Times New Roman" w:hAnsi="Times New Roman" w:eastAsia="宋体" w:cs="Times New Roman"/>
                <w:lang w:eastAsia="zh-CN"/>
              </w:rPr>
              <w:t>的要求。</w:t>
            </w:r>
            <w:r>
              <w:rPr>
                <w:rFonts w:hint="default" w:ascii="Times New Roman" w:hAnsi="Times New Roman" w:eastAsia="宋体" w:cs="Times New Roman"/>
              </w:rPr>
              <w:t>经距离衰减</w:t>
            </w:r>
            <w:r>
              <w:rPr>
                <w:rFonts w:hint="default" w:ascii="Times New Roman" w:hAnsi="Times New Roman" w:eastAsia="宋体" w:cs="Times New Roman"/>
                <w:lang w:eastAsia="zh-CN"/>
              </w:rPr>
              <w:t>，</w:t>
            </w:r>
            <w:r>
              <w:rPr>
                <w:rFonts w:hint="default" w:ascii="Times New Roman" w:hAnsi="Times New Roman" w:eastAsia="宋体" w:cs="Times New Roman"/>
              </w:rPr>
              <w:t>本项目产生的噪声</w:t>
            </w:r>
            <w:r>
              <w:rPr>
                <w:rFonts w:hint="default" w:ascii="Times New Roman" w:hAnsi="Times New Roman" w:eastAsia="宋体" w:cs="Times New Roman"/>
                <w:lang w:eastAsia="zh-CN"/>
              </w:rPr>
              <w:t>很小，</w:t>
            </w:r>
            <w:r>
              <w:rPr>
                <w:rFonts w:hint="default" w:ascii="Times New Roman" w:hAnsi="Times New Roman" w:eastAsia="宋体" w:cs="Times New Roman"/>
              </w:rPr>
              <w:t>对环境敏感点影响</w:t>
            </w:r>
            <w:r>
              <w:rPr>
                <w:rFonts w:hint="default" w:ascii="Times New Roman" w:hAnsi="Times New Roman" w:eastAsia="宋体" w:cs="Times New Roman"/>
                <w:lang w:eastAsia="zh-CN"/>
              </w:rPr>
              <w:t>较小</w:t>
            </w:r>
            <w:r>
              <w:rPr>
                <w:rFonts w:hint="default" w:ascii="Times New Roman" w:hAnsi="Times New Roman" w:eastAsia="宋体" w:cs="Times New Roman"/>
              </w:rPr>
              <w:t>。</w:t>
            </w:r>
          </w:p>
          <w:p>
            <w:pPr>
              <w:keepNext w:val="0"/>
              <w:keepLines w:val="0"/>
              <w:pageBreakBefore w:val="0"/>
              <w:widowControl w:val="0"/>
              <w:kinsoku/>
              <w:wordWrap/>
              <w:overflowPunct/>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综上所述，项目产生的噪声得到了合理处置，对周围环境影响较小。</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lang w:val="en-US" w:eastAsia="zh-CN"/>
              </w:rPr>
              <w:t>3.2监测计划</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default" w:ascii="Times New Roman" w:hAnsi="Times New Roman" w:eastAsia="宋体" w:cs="Times New Roman"/>
                <w:b/>
                <w:bCs/>
                <w:sz w:val="21"/>
                <w:szCs w:val="21"/>
                <w:lang w:val="en-US" w:eastAsia="zh-CN"/>
              </w:rPr>
              <w:t>4-1</w:t>
            </w:r>
            <w:r>
              <w:rPr>
                <w:rFonts w:hint="eastAsia" w:cs="Times New Roman"/>
                <w:b/>
                <w:bCs/>
                <w:sz w:val="21"/>
                <w:szCs w:val="21"/>
                <w:lang w:val="en-US" w:eastAsia="zh-CN"/>
              </w:rPr>
              <w:t>4</w:t>
            </w:r>
            <w:r>
              <w:rPr>
                <w:rFonts w:hint="default" w:ascii="Times New Roman" w:hAnsi="Times New Roman" w:eastAsia="宋体" w:cs="Times New Roman"/>
                <w:b/>
                <w:bCs/>
                <w:sz w:val="21"/>
                <w:szCs w:val="21"/>
              </w:rPr>
              <w:t xml:space="preserve">   </w:t>
            </w:r>
            <w:r>
              <w:rPr>
                <w:rFonts w:hint="default" w:ascii="Times New Roman" w:hAnsi="Times New Roman" w:eastAsia="宋体" w:cs="Times New Roman"/>
                <w:b/>
                <w:bCs/>
                <w:sz w:val="21"/>
                <w:szCs w:val="21"/>
                <w:lang w:eastAsia="zh-CN"/>
              </w:rPr>
              <w:t>运营期噪声监测计划一览表</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8"/>
              <w:gridCol w:w="1858"/>
              <w:gridCol w:w="1647"/>
              <w:gridCol w:w="3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1156" w:type="pct"/>
                  <w:vAlign w:val="center"/>
                </w:tcPr>
                <w:p>
                  <w:pPr>
                    <w:pStyle w:val="20"/>
                    <w:numPr>
                      <w:ilvl w:val="0"/>
                      <w:numId w:val="0"/>
                    </w:num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监测点位</w:t>
                  </w:r>
                </w:p>
              </w:tc>
              <w:tc>
                <w:tcPr>
                  <w:tcW w:w="1059" w:type="pct"/>
                  <w:vAlign w:val="center"/>
                </w:tcPr>
                <w:p>
                  <w:pPr>
                    <w:pStyle w:val="20"/>
                    <w:numPr>
                      <w:ilvl w:val="0"/>
                      <w:numId w:val="0"/>
                    </w:num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监测指标</w:t>
                  </w:r>
                </w:p>
              </w:tc>
              <w:tc>
                <w:tcPr>
                  <w:tcW w:w="939" w:type="pct"/>
                  <w:vAlign w:val="center"/>
                </w:tcPr>
                <w:p>
                  <w:pPr>
                    <w:pStyle w:val="20"/>
                    <w:numPr>
                      <w:ilvl w:val="0"/>
                      <w:numId w:val="0"/>
                    </w:num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监测频次</w:t>
                  </w:r>
                </w:p>
              </w:tc>
              <w:tc>
                <w:tcPr>
                  <w:tcW w:w="1844" w:type="pct"/>
                  <w:vAlign w:val="center"/>
                </w:tcPr>
                <w:p>
                  <w:pPr>
                    <w:pStyle w:val="20"/>
                    <w:numPr>
                      <w:ilvl w:val="0"/>
                      <w:numId w:val="0"/>
                    </w:num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156" w:type="pct"/>
                  <w:vAlign w:val="center"/>
                </w:tcPr>
                <w:p>
                  <w:pPr>
                    <w:pStyle w:val="20"/>
                    <w:numPr>
                      <w:ilvl w:val="0"/>
                      <w:numId w:val="0"/>
                    </w:num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项目四周厂界外1m</w:t>
                  </w:r>
                </w:p>
              </w:tc>
              <w:tc>
                <w:tcPr>
                  <w:tcW w:w="1059" w:type="pct"/>
                  <w:vAlign w:val="center"/>
                </w:tcPr>
                <w:p>
                  <w:pPr>
                    <w:pStyle w:val="20"/>
                    <w:numPr>
                      <w:ilvl w:val="0"/>
                      <w:numId w:val="0"/>
                    </w:num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连续等效A声级</w:t>
                  </w:r>
                </w:p>
              </w:tc>
              <w:tc>
                <w:tcPr>
                  <w:tcW w:w="939" w:type="pct"/>
                  <w:vAlign w:val="center"/>
                </w:tcPr>
                <w:p>
                  <w:pPr>
                    <w:pStyle w:val="20"/>
                    <w:numPr>
                      <w:ilvl w:val="0"/>
                      <w:numId w:val="0"/>
                    </w:num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1次/季度</w:t>
                  </w:r>
                </w:p>
              </w:tc>
              <w:tc>
                <w:tcPr>
                  <w:tcW w:w="1844" w:type="pct"/>
                  <w:vAlign w:val="center"/>
                </w:tcPr>
                <w:p>
                  <w:pPr>
                    <w:pStyle w:val="20"/>
                    <w:numPr>
                      <w:ilvl w:val="0"/>
                      <w:numId w:val="0"/>
                    </w:num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东、北、南厂界噪声</w:t>
                  </w:r>
                  <w:r>
                    <w:rPr>
                      <w:rFonts w:hint="default" w:ascii="Times New Roman" w:hAnsi="Times New Roman" w:eastAsia="宋体" w:cs="Times New Roman"/>
                      <w:sz w:val="21"/>
                      <w:szCs w:val="21"/>
                    </w:rPr>
                    <w:t>执行《工业企业厂界环境噪声排放标准》（GB12348-2008）</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类标准</w:t>
                  </w:r>
                  <w:r>
                    <w:rPr>
                      <w:rFonts w:hint="default" w:ascii="Times New Roman" w:hAnsi="Times New Roman" w:eastAsia="宋体" w:cs="Times New Roman"/>
                      <w:sz w:val="21"/>
                      <w:szCs w:val="21"/>
                      <w:lang w:eastAsia="zh-CN"/>
                    </w:rPr>
                    <w:t>；西厂界噪声</w:t>
                  </w:r>
                  <w:r>
                    <w:rPr>
                      <w:rFonts w:hint="default" w:ascii="Times New Roman" w:hAnsi="Times New Roman" w:eastAsia="宋体" w:cs="Times New Roman"/>
                      <w:sz w:val="21"/>
                      <w:szCs w:val="21"/>
                    </w:rPr>
                    <w:t>执行《工业企业厂界环境噪声排放标准》（GB12348-2008）</w:t>
                  </w: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类标准</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4、固体废物</w:t>
            </w:r>
          </w:p>
          <w:p>
            <w:pPr>
              <w:pStyle w:val="7"/>
              <w:keepNext w:val="0"/>
              <w:keepLines w:val="0"/>
              <w:pageBreakBefore w:val="0"/>
              <w:widowControl w:val="0"/>
              <w:numPr>
                <w:ilvl w:val="0"/>
                <w:numId w:val="0"/>
              </w:numPr>
              <w:kinsoku/>
              <w:wordWrap/>
              <w:overflowPunct/>
              <w:topLinePunct w:val="0"/>
              <w:bidi w:val="0"/>
              <w:spacing w:line="500" w:lineRule="exact"/>
              <w:ind w:leftChars="0" w:right="0" w:rightChars="0" w:firstLine="512"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4.1固体废物产生情况及处置</w:t>
            </w:r>
          </w:p>
          <w:p>
            <w:pPr>
              <w:keepNext w:val="0"/>
              <w:keepLines w:val="0"/>
              <w:pageBreakBefore w:val="0"/>
              <w:widowControl w:val="0"/>
              <w:kinsoku/>
              <w:wordWrap/>
              <w:overflowPunct/>
              <w:topLinePunct w:val="0"/>
              <w:bidi w:val="0"/>
              <w:spacing w:line="500" w:lineRule="exact"/>
              <w:ind w:firstLine="480"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项目固体废物</w:t>
            </w:r>
            <w:r>
              <w:rPr>
                <w:rFonts w:hint="default" w:ascii="Times New Roman" w:hAnsi="Times New Roman" w:eastAsia="宋体" w:cs="Times New Roman"/>
                <w:sz w:val="24"/>
                <w:szCs w:val="24"/>
                <w:lang w:eastAsia="zh-CN"/>
              </w:rPr>
              <w:t>主要</w:t>
            </w:r>
            <w:r>
              <w:rPr>
                <w:rFonts w:hint="default" w:ascii="Times New Roman" w:hAnsi="Times New Roman" w:eastAsia="宋体" w:cs="Times New Roman"/>
                <w:sz w:val="24"/>
                <w:szCs w:val="24"/>
              </w:rPr>
              <w:t>有：污水处理产生的格栅渣</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污泥</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根据类比调查，</w:t>
            </w:r>
            <w:r>
              <w:rPr>
                <w:rFonts w:hint="default" w:ascii="Times New Roman" w:hAnsi="Times New Roman" w:eastAsia="宋体" w:cs="Times New Roman"/>
                <w:sz w:val="24"/>
                <w:szCs w:val="24"/>
                <w:lang w:eastAsia="zh-CN"/>
              </w:rPr>
              <w:t>污水处理站</w:t>
            </w:r>
            <w:r>
              <w:rPr>
                <w:rFonts w:hint="default" w:ascii="Times New Roman" w:hAnsi="Times New Roman" w:eastAsia="宋体" w:cs="Times New Roman"/>
                <w:sz w:val="24"/>
                <w:szCs w:val="24"/>
              </w:rPr>
              <w:t>格栅渣产生量一般按0.04t/1000m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污水量计</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村级小型污水处理站产生的污泥量较少，约占污水处理量的1‰；</w:t>
            </w:r>
            <w:r>
              <w:rPr>
                <w:rFonts w:hint="default" w:ascii="Times New Roman" w:hAnsi="Times New Roman" w:eastAsia="宋体" w:cs="Times New Roman"/>
                <w:sz w:val="24"/>
                <w:szCs w:val="24"/>
                <w:lang w:eastAsia="zh-CN"/>
              </w:rPr>
              <w:t>各类固体废物产生量见下表。</w:t>
            </w:r>
          </w:p>
          <w:p>
            <w:pPr>
              <w:keepNext w:val="0"/>
              <w:keepLines w:val="0"/>
              <w:pageBreakBefore w:val="0"/>
              <w:kinsoku/>
              <w:wordWrap/>
              <w:overflowPunct/>
              <w:topLinePunct w:val="0"/>
              <w:bidi w:val="0"/>
              <w:spacing w:line="240" w:lineRule="auto"/>
              <w:ind w:left="0" w:leftChars="0"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eastAsia="zh-CN"/>
              </w:rPr>
              <w:t>表</w:t>
            </w:r>
            <w:r>
              <w:rPr>
                <w:rFonts w:hint="eastAsia" w:ascii="Times New Roman" w:hAnsi="Times New Roman" w:eastAsia="宋体" w:cs="Times New Roman"/>
                <w:b/>
                <w:bCs/>
                <w:sz w:val="21"/>
                <w:szCs w:val="21"/>
                <w:lang w:val="en-US" w:eastAsia="zh-CN"/>
              </w:rPr>
              <w:t>4-1</w:t>
            </w:r>
            <w:r>
              <w:rPr>
                <w:rFonts w:hint="eastAsia" w:cs="Times New Roman"/>
                <w:b/>
                <w:bCs/>
                <w:sz w:val="21"/>
                <w:szCs w:val="21"/>
                <w:lang w:val="en-US" w:eastAsia="zh-CN"/>
              </w:rPr>
              <w:t>5</w:t>
            </w:r>
            <w:r>
              <w:rPr>
                <w:rFonts w:hint="default" w:ascii="Times New Roman" w:hAnsi="Times New Roman" w:eastAsia="宋体" w:cs="Times New Roman"/>
                <w:b/>
                <w:bCs/>
                <w:sz w:val="21"/>
                <w:szCs w:val="21"/>
                <w:lang w:val="en-US" w:eastAsia="zh-CN"/>
              </w:rPr>
              <w:t xml:space="preserve">  固体废物产生量一览表</w:t>
            </w:r>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6"/>
              <w:gridCol w:w="3851"/>
              <w:gridCol w:w="2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30" w:type="pct"/>
                  <w:gridSpan w:val="2"/>
                  <w:vAlign w:val="center"/>
                </w:tcPr>
                <w:p>
                  <w:pPr>
                    <w:pStyle w:val="7"/>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名称</w:t>
                  </w:r>
                </w:p>
              </w:tc>
              <w:tc>
                <w:tcPr>
                  <w:tcW w:w="1569" w:type="pct"/>
                  <w:vAlign w:val="center"/>
                </w:tcPr>
                <w:p>
                  <w:pPr>
                    <w:pStyle w:val="7"/>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1" w:hRule="atLeast"/>
              </w:trPr>
              <w:tc>
                <w:tcPr>
                  <w:tcW w:w="123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污水处理站</w:t>
                  </w:r>
                </w:p>
              </w:tc>
              <w:tc>
                <w:tcPr>
                  <w:tcW w:w="2195" w:type="pct"/>
                  <w:vAlign w:val="center"/>
                </w:tcPr>
                <w:p>
                  <w:pPr>
                    <w:pStyle w:val="7"/>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格栅渣</w:t>
                  </w:r>
                </w:p>
              </w:tc>
              <w:tc>
                <w:tcPr>
                  <w:tcW w:w="1569"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1235" w:type="pct"/>
                  <w:vMerge w:val="continue"/>
                  <w:vAlign w:val="center"/>
                </w:tcPr>
                <w:p>
                  <w:pPr>
                    <w:pStyle w:val="7"/>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szCs w:val="21"/>
                    </w:rPr>
                  </w:pPr>
                </w:p>
              </w:tc>
              <w:tc>
                <w:tcPr>
                  <w:tcW w:w="2195" w:type="pct"/>
                  <w:vAlign w:val="center"/>
                </w:tcPr>
                <w:p>
                  <w:pPr>
                    <w:pStyle w:val="7"/>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污水处理产生的污泥</w:t>
                  </w:r>
                </w:p>
              </w:tc>
              <w:tc>
                <w:tcPr>
                  <w:tcW w:w="1569" w:type="pct"/>
                  <w:vAlign w:val="center"/>
                </w:tcPr>
                <w:p>
                  <w:pPr>
                    <w:pStyle w:val="7"/>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18.25</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项目生产运行阶段产生的固体废物有：格栅渣、污水处理污泥等。</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（1）格栅渣</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一般固体废物代码999-999-99</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定期收集，集中送区域环卫部门指定垃圾收集点；</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（2）污水处理站产生污泥</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一般固体废物代码462-001-62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，定期由吸粪车抽吸外运，外运至指定地点处理。</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综上所述，项目生产运行阶段产生的固体废物均能够得到妥善处理，环境友好，对区域环境影响不大。</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4.2固体废物环境管理要求</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格栅渣定期收集，集中送区域环卫部门指定垃圾收集点</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污水处理污泥定期由吸粪车抽吸外运，外运至指定地点处理</w:t>
            </w:r>
            <w:r>
              <w:rPr>
                <w:rFonts w:hint="default" w:ascii="Times New Roman" w:hAnsi="Times New Roman" w:eastAsia="宋体" w:cs="Times New Roman"/>
                <w:sz w:val="24"/>
                <w:szCs w:val="24"/>
                <w:lang w:eastAsia="zh-CN"/>
              </w:rPr>
              <w:t>；一般固体废物严格按照《一般工业固体废物贮存、处置场污染控制标准》（GB18599-2001）及其修改单对一般工业固废暂存的要求执行。分类代码按照《一般固体废物分类与代码》（</w:t>
            </w:r>
            <w:r>
              <w:rPr>
                <w:rFonts w:hint="default" w:ascii="Times New Roman" w:hAnsi="Times New Roman" w:eastAsia="宋体" w:cs="Times New Roman"/>
                <w:sz w:val="24"/>
                <w:szCs w:val="24"/>
                <w:lang w:val="en-US" w:eastAsia="zh-CN"/>
              </w:rPr>
              <w:t>GB/T 39198-2020</w:t>
            </w:r>
            <w:r>
              <w:rPr>
                <w:rFonts w:hint="default" w:ascii="Times New Roman" w:hAnsi="Times New Roman" w:eastAsia="宋体" w:cs="Times New Roman"/>
                <w:sz w:val="24"/>
                <w:szCs w:val="24"/>
                <w:lang w:eastAsia="zh-CN"/>
              </w:rPr>
              <w:t>）进行编码。</w:t>
            </w:r>
          </w:p>
          <w:p>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Chars="0" w:right="0" w:rightChars="0" w:firstLine="482" w:firstLineChars="200"/>
              <w:jc w:val="left"/>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5、地下水</w:t>
            </w:r>
          </w:p>
          <w:p>
            <w:pPr>
              <w:keepNext w:val="0"/>
              <w:keepLines w:val="0"/>
              <w:pageBreakBefore w:val="0"/>
              <w:widowControl w:val="0"/>
              <w:kinsoku/>
              <w:wordWrap/>
              <w:overflowPunct/>
              <w:topLinePunct w:val="0"/>
              <w:autoSpaceDE/>
              <w:autoSpaceDN/>
              <w:bidi w:val="0"/>
              <w:adjustRightInd/>
              <w:snapToGrid/>
              <w:spacing w:line="500" w:lineRule="exact"/>
              <w:ind w:right="0"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（1）建设项目分类</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项目为污水处理</w:t>
            </w:r>
            <w:r>
              <w:rPr>
                <w:rFonts w:hint="default" w:ascii="Times New Roman" w:hAnsi="Times New Roman" w:eastAsia="宋体" w:cs="Times New Roman"/>
                <w:sz w:val="24"/>
                <w:szCs w:val="24"/>
                <w:lang w:eastAsia="zh-CN"/>
              </w:rPr>
              <w:t>站</w:t>
            </w:r>
            <w:r>
              <w:rPr>
                <w:rFonts w:hint="default" w:ascii="Times New Roman" w:hAnsi="Times New Roman" w:eastAsia="宋体" w:cs="Times New Roman"/>
                <w:sz w:val="24"/>
                <w:szCs w:val="24"/>
              </w:rPr>
              <w:t>建设项目，项目分</w:t>
            </w:r>
            <w:r>
              <w:rPr>
                <w:rFonts w:hint="default" w:ascii="Times New Roman" w:hAnsi="Times New Roman" w:eastAsia="宋体" w:cs="Times New Roman"/>
                <w:sz w:val="24"/>
                <w:szCs w:val="24"/>
                <w:lang w:eastAsia="zh-CN"/>
              </w:rPr>
              <w:t>为</w:t>
            </w:r>
            <w:r>
              <w:rPr>
                <w:rFonts w:hint="default" w:ascii="Times New Roman" w:hAnsi="Times New Roman" w:eastAsia="宋体" w:cs="Times New Roman"/>
                <w:sz w:val="24"/>
                <w:szCs w:val="24"/>
              </w:rPr>
              <w:t>污水处理</w:t>
            </w:r>
            <w:r>
              <w:rPr>
                <w:rFonts w:hint="default" w:ascii="Times New Roman" w:hAnsi="Times New Roman" w:eastAsia="宋体" w:cs="Times New Roman"/>
                <w:sz w:val="24"/>
                <w:szCs w:val="24"/>
                <w:lang w:val="en-US" w:eastAsia="zh-CN"/>
              </w:rPr>
              <w:t>站</w:t>
            </w:r>
            <w:r>
              <w:rPr>
                <w:rFonts w:hint="default" w:ascii="Times New Roman" w:hAnsi="Times New Roman" w:eastAsia="宋体" w:cs="Times New Roman"/>
                <w:sz w:val="24"/>
                <w:szCs w:val="24"/>
              </w:rPr>
              <w:t>工程、管网工程。依据《环境影响评价技术导则·地下水环境》（HJ610-2016）的规定：当同一建设项目涉及两个或两个以上场地时，各场地应分别判定评价等级，并按相应等级开展评价工作。</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依据《环境影响评价技术导则 ·地下水环境》（HJ610-2016）附录A，项目的行业类别可分为如下类型：</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表</w:t>
            </w:r>
            <w:r>
              <w:rPr>
                <w:rFonts w:hint="eastAsia" w:ascii="Times New Roman" w:hAnsi="Times New Roman" w:eastAsia="宋体" w:cs="Times New Roman"/>
                <w:b/>
                <w:bCs/>
                <w:sz w:val="21"/>
                <w:szCs w:val="21"/>
                <w:lang w:val="en-US" w:eastAsia="zh-CN"/>
              </w:rPr>
              <w:t>4-1</w:t>
            </w:r>
            <w:r>
              <w:rPr>
                <w:rFonts w:hint="eastAsia" w:cs="Times New Roman"/>
                <w:b/>
                <w:bCs/>
                <w:sz w:val="21"/>
                <w:szCs w:val="21"/>
                <w:lang w:val="en-US" w:eastAsia="zh-CN"/>
              </w:rPr>
              <w:t>6</w:t>
            </w:r>
            <w:r>
              <w:rPr>
                <w:rFonts w:hint="default"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rPr>
              <w:t>项目各场地行业类型判别表</w:t>
            </w:r>
          </w:p>
          <w:tbl>
            <w:tblPr>
              <w:tblStyle w:val="15"/>
              <w:tblW w:w="8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3"/>
              <w:gridCol w:w="2268"/>
              <w:gridCol w:w="1418"/>
              <w:gridCol w:w="3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773" w:type="dxa"/>
                  <w:noWrap w:val="0"/>
                  <w:vAlign w:val="center"/>
                </w:tcPr>
                <w:p>
                  <w:pPr>
                    <w:pStyle w:val="35"/>
                    <w:keepNext w:val="0"/>
                    <w:keepLines w:val="0"/>
                    <w:pageBreakBefore w:val="0"/>
                    <w:widowControl w:val="0"/>
                    <w:kinsoku/>
                    <w:wordWrap/>
                    <w:overflowPunct/>
                    <w:topLinePunct w:val="0"/>
                    <w:autoSpaceDE w:val="0"/>
                    <w:autoSpaceDN w:val="0"/>
                    <w:bidi w:val="0"/>
                    <w:spacing w:line="240" w:lineRule="auto"/>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场地</w:t>
                  </w:r>
                </w:p>
              </w:tc>
              <w:tc>
                <w:tcPr>
                  <w:tcW w:w="2268" w:type="dxa"/>
                  <w:noWrap w:val="0"/>
                  <w:vAlign w:val="center"/>
                </w:tcPr>
                <w:p>
                  <w:pPr>
                    <w:pStyle w:val="35"/>
                    <w:keepNext w:val="0"/>
                    <w:keepLines w:val="0"/>
                    <w:pageBreakBefore w:val="0"/>
                    <w:widowControl w:val="0"/>
                    <w:kinsoku/>
                    <w:wordWrap/>
                    <w:overflowPunct/>
                    <w:topLinePunct w:val="0"/>
                    <w:autoSpaceDE w:val="0"/>
                    <w:autoSpaceDN w:val="0"/>
                    <w:bidi w:val="0"/>
                    <w:spacing w:line="240" w:lineRule="auto"/>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行业类别</w:t>
                  </w:r>
                </w:p>
              </w:tc>
              <w:tc>
                <w:tcPr>
                  <w:tcW w:w="1418" w:type="dxa"/>
                  <w:noWrap w:val="0"/>
                  <w:vAlign w:val="center"/>
                </w:tcPr>
                <w:p>
                  <w:pPr>
                    <w:pStyle w:val="35"/>
                    <w:keepNext w:val="0"/>
                    <w:keepLines w:val="0"/>
                    <w:pageBreakBefore w:val="0"/>
                    <w:widowControl w:val="0"/>
                    <w:kinsoku/>
                    <w:wordWrap/>
                    <w:overflowPunct/>
                    <w:topLinePunct w:val="0"/>
                    <w:autoSpaceDE w:val="0"/>
                    <w:autoSpaceDN w:val="0"/>
                    <w:bidi w:val="0"/>
                    <w:spacing w:line="240" w:lineRule="auto"/>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环评类别</w:t>
                  </w:r>
                </w:p>
              </w:tc>
              <w:tc>
                <w:tcPr>
                  <w:tcW w:w="3461" w:type="dxa"/>
                  <w:noWrap w:val="0"/>
                  <w:vAlign w:val="center"/>
                </w:tcPr>
                <w:p>
                  <w:pPr>
                    <w:pStyle w:val="35"/>
                    <w:keepNext w:val="0"/>
                    <w:keepLines w:val="0"/>
                    <w:pageBreakBefore w:val="0"/>
                    <w:widowControl w:val="0"/>
                    <w:kinsoku/>
                    <w:wordWrap/>
                    <w:overflowPunct/>
                    <w:topLinePunct w:val="0"/>
                    <w:autoSpaceDE w:val="0"/>
                    <w:autoSpaceDN w:val="0"/>
                    <w:bidi w:val="0"/>
                    <w:spacing w:line="240" w:lineRule="auto"/>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地下水环境影响评价项目类别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3" w:type="dxa"/>
                  <w:noWrap w:val="0"/>
                  <w:vAlign w:val="center"/>
                </w:tcPr>
                <w:p>
                  <w:pPr>
                    <w:pStyle w:val="35"/>
                    <w:keepNext w:val="0"/>
                    <w:keepLines w:val="0"/>
                    <w:pageBreakBefore w:val="0"/>
                    <w:widowControl w:val="0"/>
                    <w:kinsoku/>
                    <w:wordWrap/>
                    <w:overflowPunct/>
                    <w:topLinePunct w:val="0"/>
                    <w:autoSpaceDE w:val="0"/>
                    <w:autoSpaceDN w:val="0"/>
                    <w:bidi w:val="0"/>
                    <w:spacing w:line="240" w:lineRule="auto"/>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污水处理厂工程</w:t>
                  </w:r>
                </w:p>
              </w:tc>
              <w:tc>
                <w:tcPr>
                  <w:tcW w:w="2268" w:type="dxa"/>
                  <w:noWrap w:val="0"/>
                  <w:vAlign w:val="center"/>
                </w:tcPr>
                <w:p>
                  <w:pPr>
                    <w:pStyle w:val="35"/>
                    <w:keepNext w:val="0"/>
                    <w:keepLines w:val="0"/>
                    <w:pageBreakBefore w:val="0"/>
                    <w:widowControl w:val="0"/>
                    <w:kinsoku/>
                    <w:wordWrap/>
                    <w:overflowPunct/>
                    <w:topLinePunct w:val="0"/>
                    <w:autoSpaceDE w:val="0"/>
                    <w:autoSpaceDN w:val="0"/>
                    <w:bidi w:val="0"/>
                    <w:spacing w:line="240" w:lineRule="auto"/>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生活污水集中处理</w:t>
                  </w:r>
                </w:p>
              </w:tc>
              <w:tc>
                <w:tcPr>
                  <w:tcW w:w="1418" w:type="dxa"/>
                  <w:noWrap w:val="0"/>
                  <w:vAlign w:val="center"/>
                </w:tcPr>
                <w:p>
                  <w:pPr>
                    <w:pStyle w:val="35"/>
                    <w:keepNext w:val="0"/>
                    <w:keepLines w:val="0"/>
                    <w:pageBreakBefore w:val="0"/>
                    <w:widowControl w:val="0"/>
                    <w:kinsoku/>
                    <w:wordWrap/>
                    <w:overflowPunct/>
                    <w:topLinePunct w:val="0"/>
                    <w:autoSpaceDE w:val="0"/>
                    <w:autoSpaceDN w:val="0"/>
                    <w:bidi w:val="0"/>
                    <w:spacing w:line="240" w:lineRule="auto"/>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其他-报告表</w:t>
                  </w:r>
                </w:p>
              </w:tc>
              <w:tc>
                <w:tcPr>
                  <w:tcW w:w="3461" w:type="dxa"/>
                  <w:noWrap w:val="0"/>
                  <w:vAlign w:val="center"/>
                </w:tcPr>
                <w:p>
                  <w:pPr>
                    <w:pStyle w:val="35"/>
                    <w:keepNext w:val="0"/>
                    <w:keepLines w:val="0"/>
                    <w:pageBreakBefore w:val="0"/>
                    <w:widowControl w:val="0"/>
                    <w:kinsoku/>
                    <w:wordWrap/>
                    <w:overflowPunct/>
                    <w:topLinePunct w:val="0"/>
                    <w:autoSpaceDE w:val="0"/>
                    <w:autoSpaceDN w:val="0"/>
                    <w:bidi w:val="0"/>
                    <w:spacing w:line="240" w:lineRule="auto"/>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III类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3" w:type="dxa"/>
                  <w:noWrap w:val="0"/>
                  <w:vAlign w:val="center"/>
                </w:tcPr>
                <w:p>
                  <w:pPr>
                    <w:pStyle w:val="35"/>
                    <w:keepNext w:val="0"/>
                    <w:keepLines w:val="0"/>
                    <w:pageBreakBefore w:val="0"/>
                    <w:widowControl w:val="0"/>
                    <w:kinsoku/>
                    <w:wordWrap/>
                    <w:overflowPunct/>
                    <w:topLinePunct w:val="0"/>
                    <w:autoSpaceDE w:val="0"/>
                    <w:autoSpaceDN w:val="0"/>
                    <w:bidi w:val="0"/>
                    <w:spacing w:line="240" w:lineRule="auto"/>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管网工程</w:t>
                  </w:r>
                </w:p>
              </w:tc>
              <w:tc>
                <w:tcPr>
                  <w:tcW w:w="2268" w:type="dxa"/>
                  <w:noWrap w:val="0"/>
                  <w:vAlign w:val="center"/>
                </w:tcPr>
                <w:p>
                  <w:pPr>
                    <w:pStyle w:val="35"/>
                    <w:keepNext w:val="0"/>
                    <w:keepLines w:val="0"/>
                    <w:pageBreakBefore w:val="0"/>
                    <w:widowControl w:val="0"/>
                    <w:kinsoku/>
                    <w:wordWrap/>
                    <w:overflowPunct/>
                    <w:topLinePunct w:val="0"/>
                    <w:autoSpaceDE w:val="0"/>
                    <w:autoSpaceDN w:val="0"/>
                    <w:bidi w:val="0"/>
                    <w:spacing w:line="240" w:lineRule="auto"/>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管网建设</w:t>
                  </w:r>
                </w:p>
              </w:tc>
              <w:tc>
                <w:tcPr>
                  <w:tcW w:w="1418" w:type="dxa"/>
                  <w:noWrap w:val="0"/>
                  <w:vAlign w:val="center"/>
                </w:tcPr>
                <w:p>
                  <w:pPr>
                    <w:pStyle w:val="35"/>
                    <w:keepNext w:val="0"/>
                    <w:keepLines w:val="0"/>
                    <w:pageBreakBefore w:val="0"/>
                    <w:widowControl w:val="0"/>
                    <w:kinsoku/>
                    <w:wordWrap/>
                    <w:overflowPunct/>
                    <w:topLinePunct w:val="0"/>
                    <w:autoSpaceDE w:val="0"/>
                    <w:autoSpaceDN w:val="0"/>
                    <w:bidi w:val="0"/>
                    <w:spacing w:line="240" w:lineRule="auto"/>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全部-报告表</w:t>
                  </w:r>
                </w:p>
              </w:tc>
              <w:tc>
                <w:tcPr>
                  <w:tcW w:w="3461" w:type="dxa"/>
                  <w:noWrap w:val="0"/>
                  <w:vAlign w:val="center"/>
                </w:tcPr>
                <w:p>
                  <w:pPr>
                    <w:pStyle w:val="35"/>
                    <w:keepNext w:val="0"/>
                    <w:keepLines w:val="0"/>
                    <w:pageBreakBefore w:val="0"/>
                    <w:widowControl w:val="0"/>
                    <w:kinsoku/>
                    <w:wordWrap/>
                    <w:overflowPunct/>
                    <w:topLinePunct w:val="0"/>
                    <w:autoSpaceDE w:val="0"/>
                    <w:autoSpaceDN w:val="0"/>
                    <w:bidi w:val="0"/>
                    <w:spacing w:line="240" w:lineRule="auto"/>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IV类</w:t>
                  </w:r>
                </w:p>
              </w:tc>
            </w:tr>
          </w:tbl>
          <w:p>
            <w:pPr>
              <w:keepNext w:val="0"/>
              <w:keepLines w:val="0"/>
              <w:pageBreakBefore w:val="0"/>
              <w:widowControl w:val="0"/>
              <w:kinsoku/>
              <w:wordWrap/>
              <w:overflowPunct/>
              <w:topLinePunct w:val="0"/>
              <w:bidi w:val="0"/>
              <w:adjustRightInd w:val="0"/>
              <w:snapToGrid w:val="0"/>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（2）地下水环境敏感程度</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按照《环境影响评价技术导则· 地下水环境》（HJ610-2016）地下水敏感程度分级表，结合污水处理厂工程项目所在区域地理位置，项目场地不属于集中式饮用水水源地准保护区及其以外的补给径流区，不属于国家或地方政府设定的与地下水环境相关的热水、矿泉水、温泉等特殊地下水资源保护区；污水处理站工程场地地下水流向下游方向</w:t>
            </w:r>
            <w:r>
              <w:rPr>
                <w:rFonts w:hint="default" w:ascii="Times New Roman" w:hAnsi="Times New Roman" w:eastAsia="宋体" w:cs="Times New Roman"/>
                <w:lang w:eastAsia="zh-CN"/>
              </w:rPr>
              <w:t>有</w:t>
            </w:r>
            <w:r>
              <w:rPr>
                <w:rFonts w:hint="default" w:ascii="Times New Roman" w:hAnsi="Times New Roman" w:eastAsia="宋体" w:cs="Times New Roman"/>
              </w:rPr>
              <w:t>散式村庄居民饮用水源井</w:t>
            </w:r>
            <w:r>
              <w:rPr>
                <w:rFonts w:hint="default" w:ascii="Times New Roman" w:hAnsi="Times New Roman" w:eastAsia="宋体" w:cs="Times New Roman"/>
                <w:lang w:eastAsia="zh-CN"/>
              </w:rPr>
              <w:t>，因此，</w:t>
            </w:r>
            <w:r>
              <w:rPr>
                <w:rFonts w:hint="default" w:ascii="Times New Roman" w:hAnsi="Times New Roman" w:eastAsia="宋体" w:cs="Times New Roman"/>
              </w:rPr>
              <w:t>污水处理站地下水环境敏感程度为“较敏感”。</w:t>
            </w:r>
          </w:p>
          <w:p>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（3）评价等级判定</w:t>
            </w:r>
          </w:p>
          <w:p>
            <w:pPr>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按照《环境影响评价技术导则·地下水环境》（HJ610-2016）的规定，IV类项目不开展地下水环境影响评价。</w:t>
            </w:r>
          </w:p>
          <w:p>
            <w:pPr>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地下水环境影响评价工作等级划分要求详见下表：</w:t>
            </w:r>
          </w:p>
          <w:p>
            <w:pPr>
              <w:keepNext w:val="0"/>
              <w:keepLines w:val="0"/>
              <w:pageBreakBefore w:val="0"/>
              <w:widowControl w:val="0"/>
              <w:kinsoku/>
              <w:wordWrap/>
              <w:overflowPunct/>
              <w:topLinePunct w:val="0"/>
              <w:autoSpaceDE w:val="0"/>
              <w:autoSpaceDN w:val="0"/>
              <w:bidi w:val="0"/>
              <w:spacing w:line="240" w:lineRule="auto"/>
              <w:ind w:firstLine="422"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4-1</w:t>
            </w:r>
            <w:r>
              <w:rPr>
                <w:rFonts w:hint="eastAsia" w:cs="Times New Roman"/>
                <w:b/>
                <w:bCs/>
                <w:sz w:val="21"/>
                <w:szCs w:val="21"/>
                <w:lang w:val="en-US" w:eastAsia="zh-CN"/>
              </w:rPr>
              <w:t>7</w:t>
            </w:r>
            <w:r>
              <w:rPr>
                <w:rFonts w:hint="default" w:ascii="Times New Roman" w:hAnsi="Times New Roman" w:eastAsia="宋体" w:cs="Times New Roman"/>
                <w:b/>
                <w:bCs/>
                <w:sz w:val="21"/>
                <w:szCs w:val="21"/>
              </w:rPr>
              <w:t xml:space="preserve">  评价工作等级分级表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0"/>
              <w:gridCol w:w="1844"/>
              <w:gridCol w:w="1844"/>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847" w:type="pct"/>
                  <w:tcBorders>
                    <w:tl2br w:val="single" w:color="auto" w:sz="4" w:space="0"/>
                  </w:tcBorders>
                  <w:vAlign w:val="center"/>
                </w:tcPr>
                <w:p>
                  <w:pPr>
                    <w:pStyle w:val="43"/>
                    <w:keepNext w:val="0"/>
                    <w:keepLines w:val="0"/>
                    <w:pageBreakBefore w:val="0"/>
                    <w:widowControl w:val="0"/>
                    <w:kinsoku/>
                    <w:wordWrap/>
                    <w:overflowPunct/>
                    <w:topLinePunct w:val="0"/>
                    <w:autoSpaceDE w:val="0"/>
                    <w:autoSpaceDN w:val="0"/>
                    <w:bidi w:val="0"/>
                    <w:spacing w:before="0" w:after="0" w:line="240" w:lineRule="auto"/>
                    <w:ind w:firstLine="0" w:firstLineChars="0"/>
                    <w:jc w:val="right"/>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项目类别</w:t>
                  </w:r>
                </w:p>
                <w:p>
                  <w:pPr>
                    <w:pStyle w:val="43"/>
                    <w:keepNext w:val="0"/>
                    <w:keepLines w:val="0"/>
                    <w:pageBreakBefore w:val="0"/>
                    <w:widowControl w:val="0"/>
                    <w:kinsoku/>
                    <w:wordWrap/>
                    <w:overflowPunct/>
                    <w:topLinePunct w:val="0"/>
                    <w:autoSpaceDE w:val="0"/>
                    <w:autoSpaceDN w:val="0"/>
                    <w:bidi w:val="0"/>
                    <w:spacing w:before="0" w:after="0" w:line="240" w:lineRule="auto"/>
                    <w:ind w:firstLine="0" w:firstLineChars="0"/>
                    <w:jc w:val="left"/>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环境敏感程度</w:t>
                  </w:r>
                </w:p>
              </w:tc>
              <w:tc>
                <w:tcPr>
                  <w:tcW w:w="1051" w:type="pct"/>
                  <w:vAlign w:val="center"/>
                </w:tcPr>
                <w:p>
                  <w:pPr>
                    <w:pStyle w:val="43"/>
                    <w:keepNext w:val="0"/>
                    <w:keepLines w:val="0"/>
                    <w:pageBreakBefore w:val="0"/>
                    <w:widowControl w:val="0"/>
                    <w:kinsoku/>
                    <w:wordWrap/>
                    <w:overflowPunct/>
                    <w:topLinePunct w:val="0"/>
                    <w:autoSpaceDE w:val="0"/>
                    <w:autoSpaceDN w:val="0"/>
                    <w:bidi w:val="0"/>
                    <w:spacing w:before="0" w:after="0" w:line="240" w:lineRule="auto"/>
                    <w:ind w:firstLine="0" w:firstLineChars="0"/>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I类项目</w:t>
                  </w:r>
                </w:p>
              </w:tc>
              <w:tc>
                <w:tcPr>
                  <w:tcW w:w="1051" w:type="pct"/>
                  <w:vAlign w:val="center"/>
                </w:tcPr>
                <w:p>
                  <w:pPr>
                    <w:pStyle w:val="43"/>
                    <w:keepNext w:val="0"/>
                    <w:keepLines w:val="0"/>
                    <w:pageBreakBefore w:val="0"/>
                    <w:widowControl w:val="0"/>
                    <w:kinsoku/>
                    <w:wordWrap/>
                    <w:overflowPunct/>
                    <w:topLinePunct w:val="0"/>
                    <w:autoSpaceDE w:val="0"/>
                    <w:autoSpaceDN w:val="0"/>
                    <w:bidi w:val="0"/>
                    <w:spacing w:before="0" w:after="0" w:line="240" w:lineRule="auto"/>
                    <w:ind w:firstLine="0" w:firstLineChars="0"/>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II类项目</w:t>
                  </w:r>
                </w:p>
              </w:tc>
              <w:tc>
                <w:tcPr>
                  <w:tcW w:w="1051" w:type="pct"/>
                  <w:vAlign w:val="center"/>
                </w:tcPr>
                <w:p>
                  <w:pPr>
                    <w:pStyle w:val="43"/>
                    <w:keepNext w:val="0"/>
                    <w:keepLines w:val="0"/>
                    <w:pageBreakBefore w:val="0"/>
                    <w:widowControl w:val="0"/>
                    <w:kinsoku/>
                    <w:wordWrap/>
                    <w:overflowPunct/>
                    <w:topLinePunct w:val="0"/>
                    <w:autoSpaceDE w:val="0"/>
                    <w:autoSpaceDN w:val="0"/>
                    <w:bidi w:val="0"/>
                    <w:spacing w:before="0" w:after="0" w:line="240" w:lineRule="auto"/>
                    <w:ind w:firstLine="0" w:firstLineChars="0"/>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III类项目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47" w:type="pct"/>
                  <w:vAlign w:val="center"/>
                </w:tcPr>
                <w:p>
                  <w:pPr>
                    <w:pStyle w:val="35"/>
                    <w:keepNext w:val="0"/>
                    <w:keepLines w:val="0"/>
                    <w:pageBreakBefore w:val="0"/>
                    <w:widowControl w:val="0"/>
                    <w:kinsoku/>
                    <w:wordWrap/>
                    <w:overflowPunct/>
                    <w:topLinePunct w:val="0"/>
                    <w:autoSpaceDE w:val="0"/>
                    <w:autoSpaceDN w:val="0"/>
                    <w:bidi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敏感</w:t>
                  </w:r>
                </w:p>
              </w:tc>
              <w:tc>
                <w:tcPr>
                  <w:tcW w:w="1051" w:type="pct"/>
                  <w:vAlign w:val="center"/>
                </w:tcPr>
                <w:p>
                  <w:pPr>
                    <w:pStyle w:val="35"/>
                    <w:keepNext w:val="0"/>
                    <w:keepLines w:val="0"/>
                    <w:pageBreakBefore w:val="0"/>
                    <w:widowControl w:val="0"/>
                    <w:kinsoku/>
                    <w:wordWrap/>
                    <w:overflowPunct/>
                    <w:topLinePunct w:val="0"/>
                    <w:autoSpaceDE w:val="0"/>
                    <w:autoSpaceDN w:val="0"/>
                    <w:bidi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w:t>
                  </w:r>
                </w:p>
              </w:tc>
              <w:tc>
                <w:tcPr>
                  <w:tcW w:w="1051" w:type="pct"/>
                  <w:vAlign w:val="center"/>
                </w:tcPr>
                <w:p>
                  <w:pPr>
                    <w:pStyle w:val="35"/>
                    <w:keepNext w:val="0"/>
                    <w:keepLines w:val="0"/>
                    <w:pageBreakBefore w:val="0"/>
                    <w:widowControl w:val="0"/>
                    <w:kinsoku/>
                    <w:wordWrap/>
                    <w:overflowPunct/>
                    <w:topLinePunct w:val="0"/>
                    <w:autoSpaceDE w:val="0"/>
                    <w:autoSpaceDN w:val="0"/>
                    <w:bidi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w:t>
                  </w:r>
                </w:p>
              </w:tc>
              <w:tc>
                <w:tcPr>
                  <w:tcW w:w="1051" w:type="pct"/>
                  <w:vAlign w:val="center"/>
                </w:tcPr>
                <w:p>
                  <w:pPr>
                    <w:pStyle w:val="35"/>
                    <w:keepNext w:val="0"/>
                    <w:keepLines w:val="0"/>
                    <w:pageBreakBefore w:val="0"/>
                    <w:widowControl w:val="0"/>
                    <w:kinsoku/>
                    <w:wordWrap/>
                    <w:overflowPunct/>
                    <w:topLinePunct w:val="0"/>
                    <w:autoSpaceDE w:val="0"/>
                    <w:autoSpaceDN w:val="0"/>
                    <w:bidi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847" w:type="pct"/>
                  <w:vAlign w:val="center"/>
                </w:tcPr>
                <w:p>
                  <w:pPr>
                    <w:pStyle w:val="35"/>
                    <w:keepNext w:val="0"/>
                    <w:keepLines w:val="0"/>
                    <w:pageBreakBefore w:val="0"/>
                    <w:widowControl w:val="0"/>
                    <w:kinsoku/>
                    <w:wordWrap/>
                    <w:overflowPunct/>
                    <w:topLinePunct w:val="0"/>
                    <w:autoSpaceDE w:val="0"/>
                    <w:autoSpaceDN w:val="0"/>
                    <w:bidi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较敏感</w:t>
                  </w:r>
                </w:p>
              </w:tc>
              <w:tc>
                <w:tcPr>
                  <w:tcW w:w="1051" w:type="pct"/>
                  <w:vAlign w:val="center"/>
                </w:tcPr>
                <w:p>
                  <w:pPr>
                    <w:pStyle w:val="35"/>
                    <w:keepNext w:val="0"/>
                    <w:keepLines w:val="0"/>
                    <w:pageBreakBefore w:val="0"/>
                    <w:widowControl w:val="0"/>
                    <w:kinsoku/>
                    <w:wordWrap/>
                    <w:overflowPunct/>
                    <w:topLinePunct w:val="0"/>
                    <w:autoSpaceDE w:val="0"/>
                    <w:autoSpaceDN w:val="0"/>
                    <w:bidi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w:t>
                  </w:r>
                </w:p>
              </w:tc>
              <w:tc>
                <w:tcPr>
                  <w:tcW w:w="1051" w:type="pct"/>
                  <w:vAlign w:val="center"/>
                </w:tcPr>
                <w:p>
                  <w:pPr>
                    <w:pStyle w:val="35"/>
                    <w:keepNext w:val="0"/>
                    <w:keepLines w:val="0"/>
                    <w:pageBreakBefore w:val="0"/>
                    <w:widowControl w:val="0"/>
                    <w:kinsoku/>
                    <w:wordWrap/>
                    <w:overflowPunct/>
                    <w:topLinePunct w:val="0"/>
                    <w:autoSpaceDE w:val="0"/>
                    <w:autoSpaceDN w:val="0"/>
                    <w:bidi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w:t>
                  </w:r>
                </w:p>
              </w:tc>
              <w:tc>
                <w:tcPr>
                  <w:tcW w:w="1051" w:type="pct"/>
                  <w:vAlign w:val="center"/>
                </w:tcPr>
                <w:p>
                  <w:pPr>
                    <w:pStyle w:val="35"/>
                    <w:keepNext w:val="0"/>
                    <w:keepLines w:val="0"/>
                    <w:pageBreakBefore w:val="0"/>
                    <w:widowControl w:val="0"/>
                    <w:kinsoku/>
                    <w:wordWrap/>
                    <w:overflowPunct/>
                    <w:topLinePunct w:val="0"/>
                    <w:autoSpaceDE w:val="0"/>
                    <w:autoSpaceDN w:val="0"/>
                    <w:bidi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2" w:hRule="atLeast"/>
                <w:jc w:val="center"/>
              </w:trPr>
              <w:tc>
                <w:tcPr>
                  <w:tcW w:w="1847" w:type="pct"/>
                  <w:vAlign w:val="center"/>
                </w:tcPr>
                <w:p>
                  <w:pPr>
                    <w:pStyle w:val="35"/>
                    <w:keepNext w:val="0"/>
                    <w:keepLines w:val="0"/>
                    <w:pageBreakBefore w:val="0"/>
                    <w:widowControl w:val="0"/>
                    <w:kinsoku/>
                    <w:wordWrap/>
                    <w:overflowPunct/>
                    <w:topLinePunct w:val="0"/>
                    <w:autoSpaceDE w:val="0"/>
                    <w:autoSpaceDN w:val="0"/>
                    <w:bidi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不敏感</w:t>
                  </w:r>
                </w:p>
              </w:tc>
              <w:tc>
                <w:tcPr>
                  <w:tcW w:w="1051" w:type="pct"/>
                  <w:vAlign w:val="center"/>
                </w:tcPr>
                <w:p>
                  <w:pPr>
                    <w:pStyle w:val="35"/>
                    <w:keepNext w:val="0"/>
                    <w:keepLines w:val="0"/>
                    <w:pageBreakBefore w:val="0"/>
                    <w:widowControl w:val="0"/>
                    <w:kinsoku/>
                    <w:wordWrap/>
                    <w:overflowPunct/>
                    <w:topLinePunct w:val="0"/>
                    <w:autoSpaceDE w:val="0"/>
                    <w:autoSpaceDN w:val="0"/>
                    <w:bidi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w:t>
                  </w:r>
                </w:p>
              </w:tc>
              <w:tc>
                <w:tcPr>
                  <w:tcW w:w="1051" w:type="pct"/>
                  <w:vAlign w:val="center"/>
                </w:tcPr>
                <w:p>
                  <w:pPr>
                    <w:pStyle w:val="35"/>
                    <w:keepNext w:val="0"/>
                    <w:keepLines w:val="0"/>
                    <w:pageBreakBefore w:val="0"/>
                    <w:widowControl w:val="0"/>
                    <w:kinsoku/>
                    <w:wordWrap/>
                    <w:overflowPunct/>
                    <w:topLinePunct w:val="0"/>
                    <w:autoSpaceDE w:val="0"/>
                    <w:autoSpaceDN w:val="0"/>
                    <w:bidi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w:t>
                  </w:r>
                </w:p>
              </w:tc>
              <w:tc>
                <w:tcPr>
                  <w:tcW w:w="1051" w:type="pct"/>
                  <w:vAlign w:val="center"/>
                </w:tcPr>
                <w:p>
                  <w:pPr>
                    <w:pStyle w:val="35"/>
                    <w:keepNext w:val="0"/>
                    <w:keepLines w:val="0"/>
                    <w:pageBreakBefore w:val="0"/>
                    <w:widowControl w:val="0"/>
                    <w:kinsoku/>
                    <w:wordWrap/>
                    <w:overflowPunct/>
                    <w:topLinePunct w:val="0"/>
                    <w:autoSpaceDE w:val="0"/>
                    <w:autoSpaceDN w:val="0"/>
                    <w:bidi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w:t>
                  </w:r>
                </w:p>
              </w:tc>
            </w:tr>
          </w:tbl>
          <w:p>
            <w:pPr>
              <w:pStyle w:val="7"/>
              <w:keepNext w:val="0"/>
              <w:keepLines w:val="0"/>
              <w:pageBreakBefore w:val="0"/>
              <w:widowControl w:val="0"/>
              <w:kinsoku/>
              <w:wordWrap/>
              <w:overflowPunct/>
              <w:topLinePunct w:val="0"/>
              <w:autoSpaceDE w:val="0"/>
              <w:autoSpaceDN w:val="0"/>
              <w:bidi w:val="0"/>
              <w:spacing w:line="500" w:lineRule="exact"/>
              <w:ind w:firstLine="512"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对照上表地下水评价工作等级分级表，结合项目建设项目类别和地下水环境敏感程度，确定本次评价项目地下水环境影响评价工作级别确定为三级评价。</w:t>
            </w:r>
            <w:r>
              <w:rPr>
                <w:rFonts w:hint="default" w:ascii="Times New Roman" w:hAnsi="Times New Roman" w:eastAsia="宋体" w:cs="Times New Roman"/>
                <w:sz w:val="24"/>
                <w:szCs w:val="24"/>
                <w:lang w:val="en-US" w:eastAsia="zh-CN"/>
              </w:rPr>
              <w:t>本次对地下水环境的评价内容主要为：</w:t>
            </w:r>
          </w:p>
          <w:p>
            <w:pPr>
              <w:keepNext w:val="0"/>
              <w:keepLines w:val="0"/>
              <w:pageBreakBefore w:val="0"/>
              <w:widowControl w:val="0"/>
              <w:kinsoku/>
              <w:wordWrap/>
              <w:overflowPunct/>
              <w:topLinePunct w:val="0"/>
              <w:autoSpaceDE w:val="0"/>
              <w:autoSpaceDN w:val="0"/>
              <w:bidi w:val="0"/>
              <w:spacing w:line="500" w:lineRule="exact"/>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（一）地下水环境现状</w:t>
            </w:r>
          </w:p>
          <w:p>
            <w:pPr>
              <w:keepNext w:val="0"/>
              <w:keepLines w:val="0"/>
              <w:pageBreakBefore w:val="0"/>
              <w:widowControl w:val="0"/>
              <w:kinsoku/>
              <w:wordWrap/>
              <w:overflowPunct/>
              <w:topLinePunct w:val="0"/>
              <w:autoSpaceDE w:val="0"/>
              <w:autoSpaceDN w:val="0"/>
              <w:bidi w:val="0"/>
              <w:spacing w:line="500" w:lineRule="exact"/>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项目所在区域</w:t>
            </w:r>
            <w:r>
              <w:rPr>
                <w:rFonts w:hint="default" w:ascii="Times New Roman" w:hAnsi="Times New Roman" w:eastAsia="宋体" w:cs="Times New Roman"/>
                <w:sz w:val="24"/>
                <w:szCs w:val="24"/>
              </w:rPr>
              <w:t>工业企业较少，地下水水质良好</w:t>
            </w:r>
            <w:r>
              <w:rPr>
                <w:rFonts w:hint="default" w:ascii="Times New Roman" w:hAnsi="Times New Roman" w:eastAsia="宋体" w:cs="Times New Roman"/>
                <w:sz w:val="24"/>
                <w:szCs w:val="24"/>
                <w:lang w:val="en-US" w:eastAsia="zh-CN"/>
              </w:rPr>
              <w:t>下水现状可满足《地下水质量标准》（GB/T 14848-2017）Ⅲ类标准。</w:t>
            </w:r>
          </w:p>
          <w:p>
            <w:pPr>
              <w:keepNext w:val="0"/>
              <w:keepLines w:val="0"/>
              <w:pageBreakBefore w:val="0"/>
              <w:widowControl w:val="0"/>
              <w:kinsoku/>
              <w:wordWrap/>
              <w:overflowPunct/>
              <w:topLinePunct w:val="0"/>
              <w:autoSpaceDE w:val="0"/>
              <w:autoSpaceDN w:val="0"/>
              <w:bidi w:val="0"/>
              <w:spacing w:line="500" w:lineRule="exact"/>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（二）地下水环境影响评价与评价</w:t>
            </w:r>
          </w:p>
          <w:p>
            <w:pPr>
              <w:keepNext w:val="0"/>
              <w:keepLines w:val="0"/>
              <w:pageBreakBefore w:val="0"/>
              <w:widowControl w:val="0"/>
              <w:kinsoku/>
              <w:wordWrap/>
              <w:overflowPunct/>
              <w:topLinePunct w:val="0"/>
              <w:autoSpaceDE w:val="0"/>
              <w:autoSpaceDN w:val="0"/>
              <w:bidi w:val="0"/>
              <w:spacing w:line="500" w:lineRule="exact"/>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污染物对地下水的影响主要是由于降雨或废水排放等通过垂直渗透进入包气带，进入包气带的污染物在物理、化学和生物作用下经吸附、转化、迁移和分解后输入地下水。因此，包气带是联接地面污染物与地下含水层的主要通道和过渡带，既是污染物媒介体，又是污染物的净化场所和防护层。</w:t>
            </w:r>
          </w:p>
          <w:p>
            <w:pPr>
              <w:keepNext w:val="0"/>
              <w:keepLines w:val="0"/>
              <w:pageBreakBefore w:val="0"/>
              <w:widowControl w:val="0"/>
              <w:kinsoku/>
              <w:wordWrap/>
              <w:overflowPunct/>
              <w:topLinePunct w:val="0"/>
              <w:autoSpaceDE w:val="0"/>
              <w:autoSpaceDN w:val="0"/>
              <w:bidi w:val="0"/>
              <w:spacing w:line="500" w:lineRule="exact"/>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污染物从污染源进入地下水所经过路径称为地下水污染途径，地下水污染途径是多种多样的。根据项目的情况分析，本项目可能对地下水造成污染的途径主要有污水处理设施管道损坏或者池体下渗对地下水造成的污染。</w:t>
            </w:r>
          </w:p>
          <w:p>
            <w:pPr>
              <w:keepNext w:val="0"/>
              <w:keepLines w:val="0"/>
              <w:pageBreakBefore w:val="0"/>
              <w:widowControl w:val="0"/>
              <w:kinsoku/>
              <w:wordWrap/>
              <w:overflowPunct/>
              <w:topLinePunct w:val="0"/>
              <w:autoSpaceDE w:val="0"/>
              <w:autoSpaceDN w:val="0"/>
              <w:bidi w:val="0"/>
              <w:spacing w:line="500" w:lineRule="exact"/>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正常工况下，地下水可能的污染来源为污水处理设施管道、池体等跑冒滴漏。建设单位严格按照规范要求采取分区防渗的措施，一般情况下污水不会渗漏和进入地下，对地下水不会造成污染。可知，因防渗层对污废水的阻隔效果，厂区在正常运行工况下，对地下水环境影响小；非正常工况下，污水处理设施管道损坏或者池体下渗会造成地下水污染。</w:t>
            </w:r>
          </w:p>
          <w:p>
            <w:pPr>
              <w:keepNext w:val="0"/>
              <w:keepLines w:val="0"/>
              <w:pageBreakBefore w:val="0"/>
              <w:widowControl w:val="0"/>
              <w:kinsoku/>
              <w:wordWrap/>
              <w:overflowPunct/>
              <w:topLinePunct w:val="0"/>
              <w:autoSpaceDE w:val="0"/>
              <w:autoSpaceDN w:val="0"/>
              <w:bidi w:val="0"/>
              <w:spacing w:line="500" w:lineRule="exact"/>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（三）地下水污染防治</w:t>
            </w:r>
          </w:p>
          <w:p>
            <w:pPr>
              <w:keepNext w:val="0"/>
              <w:keepLines w:val="0"/>
              <w:pageBreakBefore w:val="0"/>
              <w:widowControl w:val="0"/>
              <w:kinsoku/>
              <w:wordWrap/>
              <w:overflowPunct/>
              <w:topLinePunct w:val="0"/>
              <w:autoSpaceDE w:val="0"/>
              <w:autoSpaceDN w:val="0"/>
              <w:bidi w:val="0"/>
              <w:spacing w:line="500" w:lineRule="exact"/>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地下水的保护与污染防治应符合《中</w:t>
            </w:r>
            <w:r>
              <w:rPr>
                <w:rFonts w:hint="eastAsia" w:cs="Times New Roman"/>
                <w:sz w:val="24"/>
                <w:szCs w:val="24"/>
                <w:lang w:val="en-US" w:eastAsia="zh-CN"/>
              </w:rPr>
              <w:t>华</w:t>
            </w:r>
            <w:r>
              <w:rPr>
                <w:rFonts w:hint="default" w:ascii="Times New Roman" w:hAnsi="Times New Roman" w:eastAsia="宋体" w:cs="Times New Roman"/>
                <w:sz w:val="24"/>
                <w:szCs w:val="24"/>
                <w:lang w:val="en-US" w:eastAsia="zh-CN"/>
              </w:rPr>
              <w:t>人民共和国水污染防治法》的相关规定，按照“源头控制、分区防治、污染监控、应急响应”的原则确定。</w:t>
            </w:r>
          </w:p>
          <w:p>
            <w:pPr>
              <w:keepNext w:val="0"/>
              <w:keepLines w:val="0"/>
              <w:pageBreakBefore w:val="0"/>
              <w:widowControl w:val="0"/>
              <w:kinsoku/>
              <w:wordWrap/>
              <w:overflowPunct/>
              <w:topLinePunct w:val="0"/>
              <w:autoSpaceDE w:val="0"/>
              <w:autoSpaceDN w:val="0"/>
              <w:bidi w:val="0"/>
              <w:spacing w:line="500" w:lineRule="exact"/>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（1）源头控制</w:t>
            </w:r>
          </w:p>
          <w:p>
            <w:pPr>
              <w:keepNext w:val="0"/>
              <w:keepLines w:val="0"/>
              <w:pageBreakBefore w:val="0"/>
              <w:widowControl w:val="0"/>
              <w:kinsoku/>
              <w:wordWrap/>
              <w:overflowPunct/>
              <w:topLinePunct w:val="0"/>
              <w:autoSpaceDE w:val="0"/>
              <w:autoSpaceDN w:val="0"/>
              <w:bidi w:val="0"/>
              <w:spacing w:line="500" w:lineRule="exact"/>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本项目将严格按照国家相关规范要求，对工艺、管道、设备、污水储存及处理构筑物采取相应的措施，以防止和降低污染物的跑、冒、滴、漏，将污染物泄漏的环境风险事故降到最低程度。</w:t>
            </w:r>
          </w:p>
          <w:p>
            <w:pPr>
              <w:keepNext w:val="0"/>
              <w:keepLines w:val="0"/>
              <w:pageBreakBefore w:val="0"/>
              <w:widowControl w:val="0"/>
              <w:kinsoku/>
              <w:wordWrap/>
              <w:overflowPunct/>
              <w:topLinePunct w:val="0"/>
              <w:autoSpaceDE w:val="0"/>
              <w:autoSpaceDN w:val="0"/>
              <w:bidi w:val="0"/>
              <w:spacing w:line="500" w:lineRule="exact"/>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（2）分区防治措施</w:t>
            </w:r>
          </w:p>
          <w:p>
            <w:pPr>
              <w:keepNext w:val="0"/>
              <w:keepLines w:val="0"/>
              <w:pageBreakBefore w:val="0"/>
              <w:widowControl w:val="0"/>
              <w:kinsoku/>
              <w:wordWrap/>
              <w:overflowPunct/>
              <w:topLinePunct w:val="0"/>
              <w:autoSpaceDE w:val="0"/>
              <w:autoSpaceDN w:val="0"/>
              <w:bidi w:val="0"/>
              <w:spacing w:line="500" w:lineRule="exact"/>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根据项目可能泄漏至地面区域污染物的性质和生产单元的构筑方式，将评价区域划分为重点污染防治区。</w:t>
            </w:r>
          </w:p>
          <w:p>
            <w:pPr>
              <w:keepNext w:val="0"/>
              <w:keepLines w:val="0"/>
              <w:pageBreakBefore w:val="0"/>
              <w:widowControl w:val="0"/>
              <w:kinsoku/>
              <w:wordWrap/>
              <w:overflowPunct/>
              <w:topLinePunct w:val="0"/>
              <w:autoSpaceDE w:val="0"/>
              <w:autoSpaceDN w:val="0"/>
              <w:bidi w:val="0"/>
              <w:spacing w:line="500" w:lineRule="exact"/>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重点污染防治区：指位于地下的生产功能单元，污染地下水环境的物料泄漏后，不容易被及时发现和处理的区域。主要包括项目地下部分构筑物。</w:t>
            </w:r>
          </w:p>
          <w:p>
            <w:pPr>
              <w:keepNext w:val="0"/>
              <w:keepLines w:val="0"/>
              <w:pageBreakBefore w:val="0"/>
              <w:widowControl w:val="0"/>
              <w:kinsoku/>
              <w:wordWrap/>
              <w:overflowPunct/>
              <w:topLinePunct w:val="0"/>
              <w:autoSpaceDE w:val="0"/>
              <w:autoSpaceDN w:val="0"/>
              <w:bidi w:val="0"/>
              <w:spacing w:line="500" w:lineRule="exact"/>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对于重点污染防治区，参照《危险废物安全填埋处置工程建设技术要求》(环发[2004]75号，2004年4月30日实施)、《危险废物填埋污染控制标准》(GB18598-2001)进行防渗设计。</w:t>
            </w:r>
          </w:p>
          <w:p>
            <w:pPr>
              <w:keepNext w:val="0"/>
              <w:keepLines w:val="0"/>
              <w:pageBreakBefore w:val="0"/>
              <w:widowControl w:val="0"/>
              <w:kinsoku/>
              <w:wordWrap/>
              <w:overflowPunct/>
              <w:topLinePunct w:val="0"/>
              <w:autoSpaceDE w:val="0"/>
              <w:autoSpaceDN w:val="0"/>
              <w:bidi w:val="0"/>
              <w:spacing w:line="500" w:lineRule="exact"/>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重点污染区防渗要求为：操作条件下的单位面积渗透量不大于厚度为6m，饱和渗透系数≤10-7cm/s防渗层的渗透量，防渗能力按《危险废物填埋场污染控制标准MGB18598-2001) 第6.5.1-6.5.3条执行。</w:t>
            </w:r>
          </w:p>
          <w:p>
            <w:pPr>
              <w:pStyle w:val="2"/>
              <w:keepNext w:val="0"/>
              <w:keepLines w:val="0"/>
              <w:pageBreakBefore w:val="0"/>
              <w:widowControl w:val="0"/>
              <w:kinsoku/>
              <w:wordWrap/>
              <w:overflowPunct/>
              <w:topLinePunct w:val="0"/>
              <w:autoSpaceDE w:val="0"/>
              <w:autoSpaceDN w:val="0"/>
              <w:bidi w:val="0"/>
              <w:spacing w:line="500" w:lineRule="exact"/>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在项目运营期，在落实好站区内污水处理建(构)筑物的防渗设计措施后，能有效防止污水渗漏对项目所在区域地下水水质的污染。本项目在落实上述预防措施后，不会对地下水环境带来明显的不良影响。</w:t>
            </w:r>
          </w:p>
          <w:p>
            <w:pPr>
              <w:pStyle w:val="2"/>
              <w:keepNext w:val="0"/>
              <w:keepLines w:val="0"/>
              <w:pageBreakBefore w:val="0"/>
              <w:widowControl w:val="0"/>
              <w:kinsoku/>
              <w:wordWrap/>
              <w:overflowPunct/>
              <w:topLinePunct w:val="0"/>
              <w:autoSpaceDE w:val="0"/>
              <w:autoSpaceDN w:val="0"/>
              <w:bidi w:val="0"/>
              <w:spacing w:line="500" w:lineRule="exact"/>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（四）地下水环境影响跟踪计划</w:t>
            </w:r>
          </w:p>
          <w:p>
            <w:pPr>
              <w:pStyle w:val="2"/>
              <w:keepNext w:val="0"/>
              <w:keepLines w:val="0"/>
              <w:pageBreakBefore w:val="0"/>
              <w:widowControl w:val="0"/>
              <w:kinsoku/>
              <w:wordWrap/>
              <w:overflowPunct/>
              <w:topLinePunct w:val="0"/>
              <w:autoSpaceDE w:val="0"/>
              <w:autoSpaceDN w:val="0"/>
              <w:bidi w:val="0"/>
              <w:spacing w:line="500" w:lineRule="exact"/>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（1）监管范围：主要是对项目内可能产生地下水污染的各个环节防渗材料(水泥硬地面) 进行监管。</w:t>
            </w:r>
          </w:p>
          <w:p>
            <w:pPr>
              <w:pStyle w:val="2"/>
              <w:keepNext w:val="0"/>
              <w:keepLines w:val="0"/>
              <w:pageBreakBefore w:val="0"/>
              <w:widowControl w:val="0"/>
              <w:kinsoku/>
              <w:wordWrap/>
              <w:overflowPunct/>
              <w:topLinePunct w:val="0"/>
              <w:autoSpaceDE w:val="0"/>
              <w:autoSpaceDN w:val="0"/>
              <w:bidi w:val="0"/>
              <w:spacing w:line="500" w:lineRule="exact"/>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（2）监管内容：主要是防腐防渗防漏材料有无破损，防渗层有没有造成地下水污染的可能性。</w:t>
            </w:r>
          </w:p>
          <w:p>
            <w:pPr>
              <w:pStyle w:val="2"/>
              <w:keepNext w:val="0"/>
              <w:keepLines w:val="0"/>
              <w:pageBreakBefore w:val="0"/>
              <w:widowControl w:val="0"/>
              <w:kinsoku/>
              <w:wordWrap/>
              <w:overflowPunct/>
              <w:topLinePunct w:val="0"/>
              <w:autoSpaceDE w:val="0"/>
              <w:autoSpaceDN w:val="0"/>
              <w:bidi w:val="0"/>
              <w:spacing w:line="500" w:lineRule="exact"/>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（3）监管频率：每个季度项目进行一次检查。</w:t>
            </w:r>
          </w:p>
          <w:p>
            <w:pPr>
              <w:pStyle w:val="2"/>
              <w:keepNext w:val="0"/>
              <w:keepLines w:val="0"/>
              <w:pageBreakBefore w:val="0"/>
              <w:widowControl w:val="0"/>
              <w:kinsoku/>
              <w:wordWrap/>
              <w:overflowPunct/>
              <w:topLinePunct w:val="0"/>
              <w:autoSpaceDE w:val="0"/>
              <w:autoSpaceDN w:val="0"/>
              <w:bidi w:val="0"/>
              <w:spacing w:line="500" w:lineRule="exact"/>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（4）一旦发生防腐防渗防漏材料的破损情况，应及时处置修复。</w:t>
            </w:r>
          </w:p>
          <w:p>
            <w:pPr>
              <w:keepNext w:val="0"/>
              <w:keepLines w:val="0"/>
              <w:pageBreakBefore w:val="0"/>
              <w:widowControl w:val="0"/>
              <w:kinsoku/>
              <w:wordWrap/>
              <w:overflowPunct/>
              <w:topLinePunct w:val="0"/>
              <w:bidi w:val="0"/>
              <w:spacing w:line="500" w:lineRule="exact"/>
              <w:ind w:firstLine="482" w:firstLineChars="200"/>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6、土壤</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⑴建设项目分类</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按照《环境影响评价技术导则  土壤环境（试行）》（HJ964-2018）的土壤环境影响评价工作程序进行评价。</w:t>
            </w:r>
          </w:p>
          <w:p>
            <w:pPr>
              <w:keepNext w:val="0"/>
              <w:keepLines w:val="0"/>
              <w:pageBreakBefore w:val="0"/>
              <w:widowControl w:val="0"/>
              <w:kinsoku/>
              <w:wordWrap/>
              <w:overflowPunct/>
              <w:topLinePunct w:val="0"/>
              <w:autoSpaceDE/>
              <w:autoSpaceDN/>
              <w:bidi w:val="0"/>
              <w:adjustRightInd/>
              <w:spacing w:line="500" w:lineRule="exact"/>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依据《环境影响评价技术导则  土壤环境（试行）》（HJ964-2018）的规定：涉及两个或两个以上场地或地区的建设项目应分别开展评价工作。项目为污水处理站建设项目，项目分污水处理站工程、管网工程，其中，污水处理站工程属于水生产和供应业中的生活污水处理、管网工程均属于交通运输仓储邮政业中的城镇管网和管廊建设（其他）。</w:t>
            </w:r>
          </w:p>
          <w:p>
            <w:pPr>
              <w:keepNext w:val="0"/>
              <w:keepLines w:val="0"/>
              <w:pageBreakBefore w:val="0"/>
              <w:widowControl w:val="0"/>
              <w:kinsoku/>
              <w:wordWrap/>
              <w:overflowPunct/>
              <w:topLinePunct w:val="0"/>
              <w:autoSpaceDE/>
              <w:autoSpaceDN/>
              <w:bidi w:val="0"/>
              <w:adjustRightInd/>
              <w:spacing w:line="500" w:lineRule="exact"/>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对照《环境</w:t>
            </w:r>
            <w:bookmarkStart w:id="6" w:name="_GoBack"/>
            <w:bookmarkEnd w:id="6"/>
            <w:r>
              <w:rPr>
                <w:rFonts w:hint="default" w:ascii="Times New Roman" w:hAnsi="Times New Roman" w:eastAsia="宋体" w:cs="Times New Roman"/>
                <w:sz w:val="24"/>
                <w:szCs w:val="24"/>
              </w:rPr>
              <w:t>影响评价技术导则  土壤环境（试行）》（HJ964-2018）附录A的土壤环境影响评价项目类别划分表，项目的行业类别可分为如下类型：</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4-1</w:t>
            </w:r>
            <w:r>
              <w:rPr>
                <w:rFonts w:hint="eastAsia" w:cs="Times New Roman"/>
                <w:b/>
                <w:bCs/>
                <w:color w:val="auto"/>
                <w:sz w:val="21"/>
                <w:szCs w:val="21"/>
                <w:lang w:val="en-US" w:eastAsia="zh-CN"/>
              </w:rPr>
              <w:t>8</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 xml:space="preserve"> 土壤环境影响评价项目类别划分表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097"/>
              <w:gridCol w:w="2529"/>
              <w:gridCol w:w="2485"/>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7" w:hRule="atLeast"/>
                <w:jc w:val="center"/>
              </w:trPr>
              <w:tc>
                <w:tcPr>
                  <w:tcW w:w="810"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行业类别</w:t>
                  </w:r>
                </w:p>
              </w:tc>
              <w:tc>
                <w:tcPr>
                  <w:tcW w:w="4189" w:type="pct"/>
                  <w:gridSpan w:val="4"/>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项目类别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10"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p>
              </w:tc>
              <w:tc>
                <w:tcPr>
                  <w:tcW w:w="625"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I类</w:t>
                  </w:r>
                </w:p>
              </w:tc>
              <w:tc>
                <w:tcPr>
                  <w:tcW w:w="1441"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II类</w:t>
                  </w:r>
                </w:p>
              </w:tc>
              <w:tc>
                <w:tcPr>
                  <w:tcW w:w="1416"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III类</w:t>
                  </w:r>
                </w:p>
              </w:tc>
              <w:tc>
                <w:tcPr>
                  <w:tcW w:w="705"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IV类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0"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电力热力燃气和水生产和供应业</w:t>
                  </w:r>
                </w:p>
              </w:tc>
              <w:tc>
                <w:tcPr>
                  <w:tcW w:w="625"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生活垃圾及污泥发电</w:t>
                  </w:r>
                </w:p>
              </w:tc>
              <w:tc>
                <w:tcPr>
                  <w:tcW w:w="1441"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水力发电；火力发电（燃气发电除外）；矸石、油页岩、石油焦等综合利用发电；工业废水处理；燃气生产</w:t>
                  </w:r>
                </w:p>
              </w:tc>
              <w:tc>
                <w:tcPr>
                  <w:tcW w:w="1416"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生活污水处理；燃煤锅炉总容量65t/h（不含）以上的热力生产工程；燃油锅炉总容量65t/h（不含）以上的热力生产工程</w:t>
                  </w:r>
                </w:p>
              </w:tc>
              <w:tc>
                <w:tcPr>
                  <w:tcW w:w="705"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0"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交通运输仓储邮政业</w:t>
                  </w:r>
                </w:p>
              </w:tc>
              <w:tc>
                <w:tcPr>
                  <w:tcW w:w="625"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441"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油库（不含加油站的油库）；机场的供油工程及油库；涉及危险品、化学品、石油、成品油、储罐区的码头及仓储；石油及成品油的输送管线</w:t>
                  </w:r>
                </w:p>
              </w:tc>
              <w:tc>
                <w:tcPr>
                  <w:tcW w:w="1416"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公路的加油站；铁路的维修场所</w:t>
                  </w:r>
                </w:p>
              </w:tc>
              <w:tc>
                <w:tcPr>
                  <w:tcW w:w="705"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其他</w:t>
                  </w:r>
                </w:p>
              </w:tc>
            </w:tr>
          </w:tbl>
          <w:p>
            <w:pPr>
              <w:keepNext w:val="0"/>
              <w:keepLines w:val="0"/>
              <w:pageBreakBefore w:val="0"/>
              <w:widowControl w:val="0"/>
              <w:kinsoku/>
              <w:wordWrap/>
              <w:overflowPunct/>
              <w:topLinePunct w:val="0"/>
              <w:autoSpaceDE w:val="0"/>
              <w:autoSpaceDN w:val="0"/>
              <w:bidi w:val="0"/>
              <w:adjustRightInd/>
              <w:spacing w:before="0" w:line="500" w:lineRule="exact"/>
              <w:ind w:firstLine="480" w:firstLineChars="200"/>
              <w:jc w:val="left"/>
              <w:textAlignment w:val="auto"/>
            </w:pPr>
            <w:r>
              <w:rPr>
                <w:rFonts w:hint="eastAsia"/>
              </w:rPr>
              <w:t xml:space="preserve">按照《环境影响评价技术导则 </w:t>
            </w:r>
            <w:r>
              <w:t xml:space="preserve"> </w:t>
            </w:r>
            <w:r>
              <w:rPr>
                <w:rFonts w:hint="eastAsia"/>
              </w:rPr>
              <w:t>土壤环境（试行）》（H</w:t>
            </w:r>
            <w:r>
              <w:t>J964-2018</w:t>
            </w:r>
            <w:r>
              <w:rPr>
                <w:rFonts w:hint="eastAsia"/>
              </w:rPr>
              <w:t>）的规定，IV类项目不开展土壤环境影响评价。</w:t>
            </w:r>
          </w:p>
          <w:p>
            <w:pPr>
              <w:keepNext w:val="0"/>
              <w:keepLines w:val="0"/>
              <w:pageBreakBefore w:val="0"/>
              <w:widowControl w:val="0"/>
              <w:kinsoku/>
              <w:wordWrap/>
              <w:overflowPunct/>
              <w:topLinePunct w:val="0"/>
              <w:autoSpaceDE w:val="0"/>
              <w:autoSpaceDN w:val="0"/>
              <w:bidi w:val="0"/>
              <w:adjustRightInd/>
              <w:spacing w:before="0" w:line="500" w:lineRule="exact"/>
              <w:ind w:firstLine="480" w:firstLineChars="200"/>
              <w:jc w:val="left"/>
              <w:textAlignment w:val="auto"/>
            </w:pPr>
            <w:r>
              <w:rPr>
                <w:rFonts w:hint="eastAsia"/>
              </w:rPr>
              <w:t>按照上述项目类别划分，确定项目的土壤环境影响评价类别为III类项目。</w:t>
            </w:r>
          </w:p>
          <w:p>
            <w:pPr>
              <w:keepNext w:val="0"/>
              <w:keepLines w:val="0"/>
              <w:pageBreakBefore w:val="0"/>
              <w:widowControl w:val="0"/>
              <w:kinsoku/>
              <w:wordWrap/>
              <w:overflowPunct/>
              <w:topLinePunct w:val="0"/>
              <w:autoSpaceDE w:val="0"/>
              <w:autoSpaceDN w:val="0"/>
              <w:bidi w:val="0"/>
              <w:adjustRightInd/>
              <w:snapToGrid w:val="0"/>
              <w:spacing w:before="0" w:line="500" w:lineRule="exact"/>
              <w:ind w:firstLine="480" w:firstLineChars="200"/>
              <w:jc w:val="left"/>
              <w:textAlignment w:val="auto"/>
            </w:pPr>
            <w:r>
              <w:rPr>
                <w:rFonts w:hint="eastAsia"/>
              </w:rPr>
              <w:t>⑵土壤环境影响类型识别</w:t>
            </w:r>
          </w:p>
          <w:p>
            <w:pPr>
              <w:keepNext w:val="0"/>
              <w:keepLines w:val="0"/>
              <w:pageBreakBefore w:val="0"/>
              <w:widowControl w:val="0"/>
              <w:kinsoku/>
              <w:wordWrap/>
              <w:overflowPunct/>
              <w:topLinePunct w:val="0"/>
              <w:autoSpaceDE w:val="0"/>
              <w:autoSpaceDN w:val="0"/>
              <w:bidi w:val="0"/>
              <w:adjustRightInd/>
              <w:snapToGrid w:val="0"/>
              <w:spacing w:before="0" w:line="500" w:lineRule="exact"/>
              <w:ind w:firstLine="480" w:firstLineChars="200"/>
              <w:jc w:val="left"/>
              <w:textAlignment w:val="auto"/>
            </w:pPr>
            <w:r>
              <w:rPr>
                <w:rFonts w:hint="eastAsia"/>
              </w:rPr>
              <w:t>项目为生活污水处理站建设项目，项目的建设与运行，通过一定时间的积累后，生活污水处理站各池体内的污水，可能存在因池体密封不严或水量冲击负荷或池体年久老旧失修、腐蚀等原因，从而在极端条件下，未经处理的污水可能渗入到深层土壤中，从而可能通过垂直入渗途径进入厂区外周边一定范围的土壤环境中，造成土壤环境一定范围、一定程度上的理化性质等方面特性发生小范围的改变，导致项目选址及附近区域土壤环境质量在一定程度上恶化。同时，项目建设施工期间表土剥离，场地平整，生产运行阶段项目的运行，造成该选址区域本属于农用地的土地性质，变为了建设用地，原有的土层丧失了其本身的使用功能，但项目的建设与运行不破坏深层地质，不会引起区域地下水位明显上升，因此，不会造成区域“盐化”。</w:t>
            </w:r>
          </w:p>
          <w:p>
            <w:pPr>
              <w:keepNext w:val="0"/>
              <w:keepLines w:val="0"/>
              <w:pageBreakBefore w:val="0"/>
              <w:widowControl w:val="0"/>
              <w:kinsoku/>
              <w:wordWrap/>
              <w:overflowPunct/>
              <w:topLinePunct w:val="0"/>
              <w:autoSpaceDE w:val="0"/>
              <w:autoSpaceDN w:val="0"/>
              <w:bidi w:val="0"/>
              <w:adjustRightInd/>
              <w:snapToGrid w:val="0"/>
              <w:spacing w:before="0" w:line="500" w:lineRule="exact"/>
              <w:ind w:firstLine="480" w:firstLineChars="200"/>
              <w:jc w:val="left"/>
              <w:textAlignment w:val="auto"/>
            </w:pPr>
            <w:r>
              <w:rPr>
                <w:rFonts w:hint="eastAsia"/>
              </w:rPr>
              <w:t>因此，通过识别，项目土壤环境影响评价类型为“污染影响型”。</w:t>
            </w:r>
          </w:p>
          <w:p>
            <w:pPr>
              <w:keepNext w:val="0"/>
              <w:keepLines w:val="0"/>
              <w:pageBreakBefore w:val="0"/>
              <w:widowControl w:val="0"/>
              <w:kinsoku/>
              <w:wordWrap/>
              <w:overflowPunct/>
              <w:topLinePunct w:val="0"/>
              <w:autoSpaceDE w:val="0"/>
              <w:autoSpaceDN w:val="0"/>
              <w:bidi w:val="0"/>
              <w:adjustRightInd/>
              <w:snapToGrid w:val="0"/>
              <w:spacing w:before="0" w:line="500" w:lineRule="exact"/>
              <w:ind w:firstLine="480" w:firstLineChars="200"/>
              <w:jc w:val="left"/>
              <w:textAlignment w:val="auto"/>
            </w:pPr>
            <w:r>
              <w:rPr>
                <w:rFonts w:hint="eastAsia"/>
              </w:rPr>
              <w:t>⑶评价等级判定</w:t>
            </w:r>
          </w:p>
          <w:p>
            <w:pPr>
              <w:keepNext w:val="0"/>
              <w:keepLines w:val="0"/>
              <w:pageBreakBefore w:val="0"/>
              <w:widowControl w:val="0"/>
              <w:kinsoku/>
              <w:wordWrap/>
              <w:overflowPunct/>
              <w:topLinePunct w:val="0"/>
              <w:autoSpaceDE w:val="0"/>
              <w:autoSpaceDN w:val="0"/>
              <w:bidi w:val="0"/>
              <w:adjustRightInd/>
              <w:spacing w:before="0" w:line="500" w:lineRule="exact"/>
              <w:ind w:firstLine="480" w:firstLineChars="200"/>
              <w:jc w:val="left"/>
              <w:textAlignment w:val="auto"/>
            </w:pPr>
            <w:r>
              <w:rPr>
                <w:rFonts w:hint="eastAsia"/>
              </w:rPr>
              <w:t>◆</w:t>
            </w:r>
            <w:r>
              <w:rPr>
                <w:rFonts w:hint="eastAsia"/>
                <w:lang w:eastAsia="zh-CN"/>
              </w:rPr>
              <w:t>污水处理站</w:t>
            </w:r>
            <w:r>
              <w:rPr>
                <w:rFonts w:hint="eastAsia"/>
              </w:rPr>
              <w:t>用地面积</w:t>
            </w:r>
            <w:r>
              <w:rPr>
                <w:rFonts w:hint="eastAsia"/>
                <w:lang w:eastAsia="zh-CN"/>
              </w:rPr>
              <w:t>为</w:t>
            </w:r>
            <w:r>
              <w:rPr>
                <w:rFonts w:hint="eastAsia"/>
                <w:lang w:val="en-US" w:eastAsia="zh-CN"/>
              </w:rPr>
              <w:t>128.69</w:t>
            </w:r>
            <w:r>
              <w:t>m</w:t>
            </w:r>
            <w:r>
              <w:rPr>
                <w:vertAlign w:val="superscript"/>
              </w:rPr>
              <w:t>2</w:t>
            </w:r>
            <w:r>
              <w:rPr>
                <w:rFonts w:hint="eastAsia"/>
                <w:lang w:eastAsia="zh-CN"/>
              </w:rPr>
              <w:t>（</w:t>
            </w:r>
            <w:r>
              <w:rPr>
                <w:rFonts w:hint="eastAsia"/>
                <w:lang w:val="en-US" w:eastAsia="zh-CN"/>
              </w:rPr>
              <w:t>0.0129hm</w:t>
            </w:r>
            <w:r>
              <w:rPr>
                <w:rFonts w:hint="eastAsia"/>
                <w:vertAlign w:val="superscript"/>
                <w:lang w:val="en-US" w:eastAsia="zh-CN"/>
              </w:rPr>
              <w:t>2</w:t>
            </w:r>
            <w:r>
              <w:rPr>
                <w:rFonts w:hint="eastAsia"/>
                <w:lang w:eastAsia="zh-CN"/>
              </w:rPr>
              <w:t>）</w:t>
            </w:r>
            <w:r>
              <w:rPr>
                <w:rFonts w:hint="eastAsia"/>
              </w:rPr>
              <w:t>，占地面积小于5</w:t>
            </w:r>
            <w:r>
              <w:t>hm</w:t>
            </w:r>
            <w:r>
              <w:rPr>
                <w:vertAlign w:val="superscript"/>
              </w:rPr>
              <w:t>2</w:t>
            </w:r>
            <w:r>
              <w:rPr>
                <w:rFonts w:hint="eastAsia"/>
              </w:rPr>
              <w:t>，因此，项目的占地规模为“小型”。</w:t>
            </w:r>
          </w:p>
          <w:p>
            <w:pPr>
              <w:keepNext w:val="0"/>
              <w:keepLines w:val="0"/>
              <w:pageBreakBefore w:val="0"/>
              <w:widowControl w:val="0"/>
              <w:kinsoku/>
              <w:wordWrap/>
              <w:overflowPunct/>
              <w:topLinePunct w:val="0"/>
              <w:autoSpaceDE w:val="0"/>
              <w:autoSpaceDN w:val="0"/>
              <w:bidi w:val="0"/>
              <w:adjustRightInd/>
              <w:spacing w:before="0" w:line="500" w:lineRule="exact"/>
              <w:ind w:firstLine="480" w:firstLineChars="200"/>
              <w:jc w:val="left"/>
              <w:textAlignment w:val="auto"/>
            </w:pPr>
            <w:r>
              <w:rPr>
                <w:rFonts w:hint="eastAsia"/>
              </w:rPr>
              <w:t>◆建设项目选址周围存在居民区及耕地，周边的土壤环境敏感程度为：“敏感”。</w:t>
            </w:r>
          </w:p>
          <w:p>
            <w:pPr>
              <w:keepNext w:val="0"/>
              <w:keepLines w:val="0"/>
              <w:pageBreakBefore w:val="0"/>
              <w:widowControl w:val="0"/>
              <w:kinsoku/>
              <w:wordWrap/>
              <w:overflowPunct/>
              <w:topLinePunct w:val="0"/>
              <w:autoSpaceDE w:val="0"/>
              <w:autoSpaceDN w:val="0"/>
              <w:bidi w:val="0"/>
              <w:adjustRightInd/>
              <w:spacing w:before="0" w:line="500" w:lineRule="exact"/>
              <w:ind w:firstLine="480" w:firstLineChars="200"/>
              <w:jc w:val="left"/>
              <w:textAlignment w:val="auto"/>
            </w:pPr>
            <w:r>
              <w:rPr>
                <w:rFonts w:hint="eastAsia"/>
              </w:rPr>
              <w:t>土壤环境影响评价工作等级划分要求详见下表：</w:t>
            </w:r>
          </w:p>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4-</w:t>
            </w:r>
            <w:r>
              <w:rPr>
                <w:rFonts w:hint="eastAsia" w:cs="Times New Roman"/>
                <w:b/>
                <w:bCs/>
                <w:color w:val="auto"/>
                <w:sz w:val="21"/>
                <w:szCs w:val="21"/>
                <w:lang w:val="en-US" w:eastAsia="zh-CN"/>
              </w:rPr>
              <w:t>19</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 xml:space="preserve"> 污染影响型评价工作等级划分表</w:t>
            </w:r>
          </w:p>
          <w:tbl>
            <w:tblPr>
              <w:tblStyle w:val="1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14"/>
              <w:gridCol w:w="805"/>
              <w:gridCol w:w="779"/>
              <w:gridCol w:w="828"/>
              <w:gridCol w:w="826"/>
              <w:gridCol w:w="828"/>
              <w:gridCol w:w="689"/>
              <w:gridCol w:w="689"/>
              <w:gridCol w:w="831"/>
              <w:gridCol w:w="7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9" w:hRule="exact"/>
                <w:jc w:val="center"/>
              </w:trPr>
              <w:tc>
                <w:tcPr>
                  <w:tcW w:w="977" w:type="pct"/>
                  <w:vMerge w:val="restar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占地规模</w:t>
                  </w:r>
                </w:p>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评价工作等级</w:t>
                  </w:r>
                </w:p>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敏感程度</w:t>
                  </w:r>
                </w:p>
              </w:tc>
              <w:tc>
                <w:tcPr>
                  <w:tcW w:w="1375" w:type="pct"/>
                  <w:gridSpan w:val="3"/>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Ⅰ类</w:t>
                  </w:r>
                </w:p>
              </w:tc>
              <w:tc>
                <w:tcPr>
                  <w:tcW w:w="1336" w:type="pct"/>
                  <w:gridSpan w:val="3"/>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Ⅱ类</w:t>
                  </w:r>
                </w:p>
              </w:tc>
              <w:tc>
                <w:tcPr>
                  <w:tcW w:w="1312" w:type="pct"/>
                  <w:gridSpan w:val="3"/>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Ⅲ类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exact"/>
                <w:jc w:val="center"/>
              </w:trPr>
              <w:tc>
                <w:tcPr>
                  <w:tcW w:w="977" w:type="pct"/>
                  <w:vMerge w:val="continue"/>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p>
              </w:tc>
              <w:tc>
                <w:tcPr>
                  <w:tcW w:w="459"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w:t>
                  </w:r>
                </w:p>
              </w:tc>
              <w:tc>
                <w:tcPr>
                  <w:tcW w:w="444"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w:t>
                  </w:r>
                </w:p>
              </w:tc>
              <w:tc>
                <w:tcPr>
                  <w:tcW w:w="472"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小</w:t>
                  </w:r>
                </w:p>
              </w:tc>
              <w:tc>
                <w:tcPr>
                  <w:tcW w:w="471"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w:t>
                  </w:r>
                </w:p>
              </w:tc>
              <w:tc>
                <w:tcPr>
                  <w:tcW w:w="472"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w:t>
                  </w:r>
                </w:p>
              </w:tc>
              <w:tc>
                <w:tcPr>
                  <w:tcW w:w="393"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小</w:t>
                  </w:r>
                </w:p>
              </w:tc>
              <w:tc>
                <w:tcPr>
                  <w:tcW w:w="393"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w:t>
                  </w:r>
                </w:p>
              </w:tc>
              <w:tc>
                <w:tcPr>
                  <w:tcW w:w="473"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w:t>
                  </w:r>
                </w:p>
              </w:tc>
              <w:tc>
                <w:tcPr>
                  <w:tcW w:w="44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0" w:hRule="exact"/>
                <w:jc w:val="center"/>
              </w:trPr>
              <w:tc>
                <w:tcPr>
                  <w:tcW w:w="977"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敏感</w:t>
                  </w:r>
                </w:p>
              </w:tc>
              <w:tc>
                <w:tcPr>
                  <w:tcW w:w="459"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w:t>
                  </w:r>
                </w:p>
              </w:tc>
              <w:tc>
                <w:tcPr>
                  <w:tcW w:w="444"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w:t>
                  </w:r>
                </w:p>
              </w:tc>
              <w:tc>
                <w:tcPr>
                  <w:tcW w:w="472"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w:t>
                  </w:r>
                </w:p>
              </w:tc>
              <w:tc>
                <w:tcPr>
                  <w:tcW w:w="471"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p>
              </w:tc>
              <w:tc>
                <w:tcPr>
                  <w:tcW w:w="472"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p>
              </w:tc>
              <w:tc>
                <w:tcPr>
                  <w:tcW w:w="393"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p>
              </w:tc>
              <w:tc>
                <w:tcPr>
                  <w:tcW w:w="393"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w:t>
                  </w:r>
                </w:p>
              </w:tc>
              <w:tc>
                <w:tcPr>
                  <w:tcW w:w="473"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w:t>
                  </w:r>
                </w:p>
              </w:tc>
              <w:tc>
                <w:tcPr>
                  <w:tcW w:w="44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7" w:hRule="exact"/>
                <w:jc w:val="center"/>
              </w:trPr>
              <w:tc>
                <w:tcPr>
                  <w:tcW w:w="977"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较敏感</w:t>
                  </w:r>
                </w:p>
              </w:tc>
              <w:tc>
                <w:tcPr>
                  <w:tcW w:w="459"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w:t>
                  </w:r>
                </w:p>
              </w:tc>
              <w:tc>
                <w:tcPr>
                  <w:tcW w:w="444"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w:t>
                  </w:r>
                </w:p>
              </w:tc>
              <w:tc>
                <w:tcPr>
                  <w:tcW w:w="472"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p>
              </w:tc>
              <w:tc>
                <w:tcPr>
                  <w:tcW w:w="471"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p>
              </w:tc>
              <w:tc>
                <w:tcPr>
                  <w:tcW w:w="472"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p>
              </w:tc>
              <w:tc>
                <w:tcPr>
                  <w:tcW w:w="393"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w:t>
                  </w:r>
                </w:p>
              </w:tc>
              <w:tc>
                <w:tcPr>
                  <w:tcW w:w="393"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w:t>
                  </w:r>
                </w:p>
              </w:tc>
              <w:tc>
                <w:tcPr>
                  <w:tcW w:w="473"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w:t>
                  </w:r>
                </w:p>
              </w:tc>
              <w:tc>
                <w:tcPr>
                  <w:tcW w:w="44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9" w:hRule="exact"/>
                <w:jc w:val="center"/>
              </w:trPr>
              <w:tc>
                <w:tcPr>
                  <w:tcW w:w="977"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不敏感</w:t>
                  </w:r>
                </w:p>
              </w:tc>
              <w:tc>
                <w:tcPr>
                  <w:tcW w:w="459"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w:t>
                  </w:r>
                </w:p>
              </w:tc>
              <w:tc>
                <w:tcPr>
                  <w:tcW w:w="444"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p>
              </w:tc>
              <w:tc>
                <w:tcPr>
                  <w:tcW w:w="472"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p>
              </w:tc>
              <w:tc>
                <w:tcPr>
                  <w:tcW w:w="471"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p>
              </w:tc>
              <w:tc>
                <w:tcPr>
                  <w:tcW w:w="472"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w:t>
                  </w:r>
                </w:p>
              </w:tc>
              <w:tc>
                <w:tcPr>
                  <w:tcW w:w="393"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w:t>
                  </w:r>
                </w:p>
              </w:tc>
              <w:tc>
                <w:tcPr>
                  <w:tcW w:w="393"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w:t>
                  </w:r>
                </w:p>
              </w:tc>
              <w:tc>
                <w:tcPr>
                  <w:tcW w:w="473"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4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2" w:hRule="exact"/>
                <w:jc w:val="center"/>
              </w:trPr>
              <w:tc>
                <w:tcPr>
                  <w:tcW w:w="5000" w:type="pct"/>
                  <w:gridSpan w:val="10"/>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注：“-”表示可不开展土壤环境影响评价工作。</w:t>
                  </w:r>
                </w:p>
              </w:tc>
            </w:tr>
          </w:tbl>
          <w:p>
            <w:pPr>
              <w:keepNext w:val="0"/>
              <w:keepLines w:val="0"/>
              <w:pageBreakBefore w:val="0"/>
              <w:widowControl w:val="0"/>
              <w:kinsoku/>
              <w:wordWrap/>
              <w:overflowPunct/>
              <w:topLinePunct w:val="0"/>
              <w:autoSpaceDE w:val="0"/>
              <w:autoSpaceDN w:val="0"/>
              <w:bidi w:val="0"/>
              <w:spacing w:before="0" w:line="500" w:lineRule="exact"/>
              <w:ind w:firstLine="480" w:firstLineChars="200"/>
              <w:jc w:val="left"/>
              <w:textAlignment w:val="auto"/>
            </w:pPr>
            <w:r>
              <w:t>根据以上分析，确定项目</w:t>
            </w:r>
            <w:r>
              <w:rPr>
                <w:rFonts w:hint="eastAsia"/>
              </w:rPr>
              <w:t>土壤</w:t>
            </w:r>
            <w:r>
              <w:t>环境影响评价工作等级为</w:t>
            </w:r>
            <w:r>
              <w:rPr>
                <w:rFonts w:hint="eastAsia"/>
              </w:rPr>
              <w:t>“污染影响型”三</w:t>
            </w:r>
            <w:r>
              <w:t>级评价</w:t>
            </w:r>
            <w:r>
              <w:rPr>
                <w:rFonts w:hint="eastAsia"/>
              </w:rPr>
              <w:t>。</w:t>
            </w:r>
          </w:p>
          <w:p>
            <w:pPr>
              <w:keepNext w:val="0"/>
              <w:keepLines w:val="0"/>
              <w:pageBreakBefore w:val="0"/>
              <w:widowControl w:val="0"/>
              <w:kinsoku/>
              <w:wordWrap/>
              <w:overflowPunct/>
              <w:topLinePunct w:val="0"/>
              <w:autoSpaceDE w:val="0"/>
              <w:autoSpaceDN w:val="0"/>
              <w:bidi w:val="0"/>
              <w:spacing w:before="0" w:line="500" w:lineRule="exact"/>
              <w:ind w:firstLine="480" w:firstLineChars="200"/>
              <w:jc w:val="left"/>
              <w:textAlignment w:val="auto"/>
            </w:pPr>
            <w:r>
              <w:rPr>
                <w:rFonts w:hint="eastAsia"/>
              </w:rPr>
              <w:t>⑷</w:t>
            </w:r>
            <w:r>
              <w:t>土壤环境影</w:t>
            </w:r>
            <w:r>
              <w:rPr>
                <w:rFonts w:hint="eastAsia"/>
              </w:rPr>
              <w:t>响分析与评价</w:t>
            </w:r>
          </w:p>
          <w:p>
            <w:pPr>
              <w:keepNext w:val="0"/>
              <w:keepLines w:val="0"/>
              <w:pageBreakBefore w:val="0"/>
              <w:widowControl w:val="0"/>
              <w:kinsoku/>
              <w:wordWrap/>
              <w:overflowPunct/>
              <w:topLinePunct w:val="0"/>
              <w:autoSpaceDE w:val="0"/>
              <w:autoSpaceDN w:val="0"/>
              <w:bidi w:val="0"/>
              <w:spacing w:before="0" w:line="500" w:lineRule="exact"/>
              <w:ind w:firstLine="480" w:firstLineChars="200"/>
              <w:jc w:val="left"/>
              <w:textAlignment w:val="auto"/>
            </w:pPr>
            <w:r>
              <w:rPr>
                <w:rFonts w:hint="eastAsia"/>
              </w:rPr>
              <w:t xml:space="preserve">根据《环境影响评价技术导则 </w:t>
            </w:r>
            <w:r>
              <w:t xml:space="preserve"> </w:t>
            </w:r>
            <w:r>
              <w:rPr>
                <w:rFonts w:hint="eastAsia"/>
              </w:rPr>
              <w:t>土壤环境（试行）》（H</w:t>
            </w:r>
            <w:r>
              <w:t>J964-2018</w:t>
            </w:r>
            <w:r>
              <w:rPr>
                <w:rFonts w:hint="eastAsia"/>
              </w:rPr>
              <w:t>）：“8</w:t>
            </w:r>
            <w:r>
              <w:t>.7.4</w:t>
            </w:r>
            <w:r>
              <w:rPr>
                <w:rFonts w:hint="eastAsia"/>
              </w:rPr>
              <w:t>评价工作等级为三级的建设项目，可采用定性描述或类比分析法进行预测”。本次评价采用定性描述及类比分析相结合的方法。</w:t>
            </w:r>
          </w:p>
          <w:p>
            <w:pPr>
              <w:keepNext w:val="0"/>
              <w:keepLines w:val="0"/>
              <w:pageBreakBefore w:val="0"/>
              <w:widowControl w:val="0"/>
              <w:kinsoku/>
              <w:wordWrap/>
              <w:overflowPunct/>
              <w:topLinePunct w:val="0"/>
              <w:autoSpaceDE w:val="0"/>
              <w:autoSpaceDN w:val="0"/>
              <w:bidi w:val="0"/>
              <w:spacing w:before="0" w:line="500" w:lineRule="exact"/>
              <w:ind w:firstLine="480" w:firstLineChars="200"/>
              <w:jc w:val="left"/>
              <w:textAlignment w:val="auto"/>
            </w:pPr>
            <w:r>
              <w:rPr>
                <w:rFonts w:hint="eastAsia"/>
              </w:rPr>
              <w:t>◆土壤环境影响途经识别</w:t>
            </w:r>
          </w:p>
          <w:p>
            <w:pPr>
              <w:keepNext w:val="0"/>
              <w:keepLines w:val="0"/>
              <w:pageBreakBefore w:val="0"/>
              <w:widowControl w:val="0"/>
              <w:kinsoku/>
              <w:wordWrap/>
              <w:overflowPunct/>
              <w:topLinePunct w:val="0"/>
              <w:autoSpaceDE w:val="0"/>
              <w:autoSpaceDN w:val="0"/>
              <w:bidi w:val="0"/>
              <w:adjustRightInd w:val="0"/>
              <w:snapToGrid w:val="0"/>
              <w:spacing w:before="0" w:line="500" w:lineRule="exact"/>
              <w:ind w:firstLine="480" w:firstLineChars="200"/>
              <w:jc w:val="left"/>
              <w:textAlignment w:val="auto"/>
            </w:pPr>
            <w:r>
              <w:rPr>
                <w:rFonts w:hint="eastAsia"/>
              </w:rPr>
              <w:t>土壤环境受到的污染，主要与土壤环境所处的特殊地位和功能相联系，通常土壤污染主要有自然影响和人为影响两大途径。</w:t>
            </w:r>
          </w:p>
          <w:p>
            <w:pPr>
              <w:keepNext w:val="0"/>
              <w:keepLines w:val="0"/>
              <w:pageBreakBefore w:val="0"/>
              <w:widowControl w:val="0"/>
              <w:kinsoku/>
              <w:wordWrap/>
              <w:overflowPunct/>
              <w:topLinePunct w:val="0"/>
              <w:autoSpaceDE w:val="0"/>
              <w:autoSpaceDN w:val="0"/>
              <w:bidi w:val="0"/>
              <w:adjustRightInd w:val="0"/>
              <w:snapToGrid w:val="0"/>
              <w:spacing w:before="0" w:line="500" w:lineRule="exact"/>
              <w:ind w:firstLine="480" w:firstLineChars="200"/>
              <w:jc w:val="left"/>
              <w:textAlignment w:val="auto"/>
            </w:pPr>
            <w:r>
              <w:rPr>
                <w:rFonts w:hint="eastAsia"/>
              </w:rPr>
              <w:t>自然环境对土壤环境的影响主要有以下两个方面：土壤作为环境要素之一，因大气或水体中的污染物质的迁移转化，从而进入土壤，使土壤随之亦遭受污染；在自然界中某些元素的富集中心，往往自然扩散，使附近土壤中某些元素的含量超出一般土壤的含量范围，这类污染物质称为自然污染物，这也是土壤遭受污染的主要途径之一。</w:t>
            </w:r>
          </w:p>
          <w:p>
            <w:pPr>
              <w:keepNext w:val="0"/>
              <w:keepLines w:val="0"/>
              <w:pageBreakBefore w:val="0"/>
              <w:widowControl w:val="0"/>
              <w:kinsoku/>
              <w:wordWrap/>
              <w:overflowPunct/>
              <w:topLinePunct w:val="0"/>
              <w:autoSpaceDE w:val="0"/>
              <w:autoSpaceDN w:val="0"/>
              <w:bidi w:val="0"/>
              <w:adjustRightInd w:val="0"/>
              <w:snapToGrid w:val="0"/>
              <w:spacing w:before="0" w:line="500" w:lineRule="exact"/>
              <w:ind w:firstLine="480" w:firstLineChars="200"/>
              <w:jc w:val="left"/>
              <w:textAlignment w:val="auto"/>
            </w:pPr>
            <w:r>
              <w:rPr>
                <w:rFonts w:hint="eastAsia"/>
              </w:rPr>
              <w:t>人为对土壤环境的影响主要有以下两个方面：土壤是农业生产的主要劳动对象和依托介质，为了提高农产品的数量和质量，人们不断加大单位土壤面积上的施肥数量，随着有机肥、化肥以及农药的使用，大量污染物质进入土壤，并随之积累起来，这是人为造成土壤污染的主要途径。土壤作为废物（垃圾、废渣和污水等）的处理场所，尽管人们在废物处置过程中采取了一系列的保护措施，但还是会有部分有机和无机污染物质因各种原因从不同途径进入土壤。</w:t>
            </w:r>
          </w:p>
          <w:p>
            <w:pPr>
              <w:keepNext w:val="0"/>
              <w:keepLines w:val="0"/>
              <w:pageBreakBefore w:val="0"/>
              <w:widowControl w:val="0"/>
              <w:kinsoku/>
              <w:wordWrap/>
              <w:overflowPunct/>
              <w:topLinePunct w:val="0"/>
              <w:autoSpaceDE w:val="0"/>
              <w:autoSpaceDN w:val="0"/>
              <w:bidi w:val="0"/>
              <w:spacing w:before="0" w:line="500" w:lineRule="exact"/>
              <w:ind w:firstLine="480" w:firstLineChars="200"/>
              <w:jc w:val="left"/>
              <w:textAlignment w:val="auto"/>
            </w:pPr>
            <w:r>
              <w:rPr>
                <w:rFonts w:hint="eastAsia"/>
              </w:rPr>
              <w:t>◆项目的土壤环境影响</w:t>
            </w:r>
          </w:p>
          <w:p>
            <w:pPr>
              <w:keepNext w:val="0"/>
              <w:keepLines w:val="0"/>
              <w:pageBreakBefore w:val="0"/>
              <w:widowControl w:val="0"/>
              <w:kinsoku/>
              <w:wordWrap/>
              <w:overflowPunct/>
              <w:topLinePunct w:val="0"/>
              <w:autoSpaceDE w:val="0"/>
              <w:autoSpaceDN w:val="0"/>
              <w:bidi w:val="0"/>
              <w:adjustRightInd w:val="0"/>
              <w:snapToGrid w:val="0"/>
              <w:spacing w:before="0" w:line="500" w:lineRule="exact"/>
              <w:ind w:firstLine="480" w:firstLineChars="200"/>
              <w:jc w:val="left"/>
              <w:textAlignment w:val="auto"/>
            </w:pPr>
            <w:r>
              <w:rPr>
                <w:rFonts w:hint="eastAsia"/>
              </w:rPr>
              <w:t>项目的建设对土壤环境的影响主要表现为：项目施工阶段将会有大量地面工程建设的开挖、填埋行为对土壤结构的破坏：挖掘、碾压、践踏、堆积物品等均会使土壤结构破坏，土壤生产力下降。项目的运营对土壤环境的影响主要表现为：污水处理站如果发生泄漏，污水下渗会对土壤会产生一定影响。</w:t>
            </w:r>
          </w:p>
          <w:p>
            <w:pPr>
              <w:keepNext w:val="0"/>
              <w:keepLines w:val="0"/>
              <w:pageBreakBefore w:val="0"/>
              <w:widowControl w:val="0"/>
              <w:kinsoku/>
              <w:wordWrap/>
              <w:overflowPunct/>
              <w:topLinePunct w:val="0"/>
              <w:autoSpaceDE w:val="0"/>
              <w:autoSpaceDN w:val="0"/>
              <w:bidi w:val="0"/>
              <w:adjustRightInd w:val="0"/>
              <w:snapToGrid w:val="0"/>
              <w:spacing w:before="0" w:line="500" w:lineRule="exact"/>
              <w:ind w:firstLine="480" w:firstLineChars="200"/>
              <w:jc w:val="left"/>
              <w:textAlignment w:val="auto"/>
            </w:pPr>
            <w:r>
              <w:rPr>
                <w:rFonts w:hint="eastAsia"/>
              </w:rPr>
              <w:t>项目对土壤的影响还包括项目运营过程中废水通过构筑物和管道传送与土壤的接触而进入土壤，从而对土壤产生影响。</w:t>
            </w:r>
          </w:p>
          <w:p>
            <w:pPr>
              <w:keepNext w:val="0"/>
              <w:keepLines w:val="0"/>
              <w:pageBreakBefore w:val="0"/>
              <w:widowControl w:val="0"/>
              <w:kinsoku/>
              <w:wordWrap/>
              <w:overflowPunct/>
              <w:topLinePunct w:val="0"/>
              <w:autoSpaceDE w:val="0"/>
              <w:autoSpaceDN w:val="0"/>
              <w:bidi w:val="0"/>
              <w:adjustRightInd w:val="0"/>
              <w:snapToGrid w:val="0"/>
              <w:spacing w:before="0" w:line="500" w:lineRule="exact"/>
              <w:ind w:firstLine="480" w:firstLineChars="200"/>
              <w:jc w:val="left"/>
              <w:textAlignment w:val="auto"/>
            </w:pPr>
            <w:r>
              <w:rPr>
                <w:rFonts w:hint="eastAsia"/>
              </w:rPr>
              <w:t>项目对</w:t>
            </w:r>
            <w:r>
              <w:t>土壤环境的影响途径及因子识别分别见下表。</w:t>
            </w:r>
          </w:p>
          <w:p>
            <w:pPr>
              <w:bidi w:val="0"/>
              <w:spacing w:line="240" w:lineRule="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4-2</w:t>
            </w:r>
            <w:r>
              <w:rPr>
                <w:rFonts w:hint="eastAsia" w:cs="Times New Roman"/>
                <w:b/>
                <w:bCs/>
                <w:sz w:val="21"/>
                <w:szCs w:val="21"/>
                <w:lang w:val="en-US" w:eastAsia="zh-CN"/>
              </w:rPr>
              <w:t>0</w:t>
            </w:r>
            <w:r>
              <w:rPr>
                <w:rFonts w:hint="default" w:ascii="Times New Roman" w:hAnsi="Times New Roman" w:eastAsia="宋体" w:cs="Times New Roman"/>
                <w:b/>
                <w:bCs/>
                <w:sz w:val="21"/>
                <w:szCs w:val="21"/>
              </w:rPr>
              <w:t xml:space="preserve">  项目土壤环境影响途径表</w:t>
            </w:r>
          </w:p>
          <w:tbl>
            <w:tblPr>
              <w:tblStyle w:val="15"/>
              <w:tblW w:w="5000" w:type="pct"/>
              <w:tblInd w:w="0" w:type="dxa"/>
              <w:tblLayout w:type="autofit"/>
              <w:tblCellMar>
                <w:top w:w="0" w:type="dxa"/>
                <w:left w:w="108" w:type="dxa"/>
                <w:bottom w:w="0" w:type="dxa"/>
                <w:right w:w="108" w:type="dxa"/>
              </w:tblCellMar>
            </w:tblPr>
            <w:tblGrid>
              <w:gridCol w:w="2190"/>
              <w:gridCol w:w="2190"/>
              <w:gridCol w:w="2190"/>
              <w:gridCol w:w="2212"/>
            </w:tblGrid>
            <w:tr>
              <w:tblPrEx>
                <w:tblCellMar>
                  <w:top w:w="0" w:type="dxa"/>
                  <w:left w:w="108" w:type="dxa"/>
                  <w:bottom w:w="0" w:type="dxa"/>
                  <w:right w:w="108" w:type="dxa"/>
                </w:tblCellMar>
              </w:tblPrEx>
              <w:trPr>
                <w:trHeight w:val="397" w:hRule="atLeast"/>
              </w:trPr>
              <w:tc>
                <w:tcPr>
                  <w:tcW w:w="5000" w:type="pct"/>
                  <w:gridSpan w:val="4"/>
                  <w:tcBorders>
                    <w:top w:val="single" w:color="000000" w:sz="4" w:space="0"/>
                    <w:left w:val="single" w:color="000000" w:sz="4" w:space="0"/>
                    <w:bottom w:val="single" w:color="000000" w:sz="4" w:space="0"/>
                    <w:right w:val="single" w:color="000000" w:sz="4" w:space="0"/>
                    <w:tl2br w:val="nil"/>
                    <w:tr2bl w:val="nil"/>
                  </w:tcBorders>
                  <w:vAlign w:val="center"/>
                </w:tcPr>
                <w:p>
                  <w:pPr>
                    <w:bidi w:val="0"/>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影响途径</w:t>
                  </w:r>
                </w:p>
              </w:tc>
            </w:tr>
            <w:tr>
              <w:tblPrEx>
                <w:tblCellMar>
                  <w:top w:w="0" w:type="dxa"/>
                  <w:left w:w="108" w:type="dxa"/>
                  <w:bottom w:w="0" w:type="dxa"/>
                  <w:right w:w="108" w:type="dxa"/>
                </w:tblCellMar>
              </w:tblPrEx>
              <w:trPr>
                <w:trHeight w:val="397" w:hRule="atLeast"/>
              </w:trPr>
              <w:tc>
                <w:tcPr>
                  <w:tcW w:w="1247" w:type="pct"/>
                  <w:tcBorders>
                    <w:top w:val="single" w:color="000000" w:sz="4" w:space="0"/>
                    <w:left w:val="single" w:color="000000" w:sz="4" w:space="0"/>
                    <w:bottom w:val="single" w:color="000000" w:sz="4" w:space="0"/>
                    <w:right w:val="single" w:color="000000" w:sz="4" w:space="0"/>
                    <w:tl2br w:val="nil"/>
                    <w:tr2bl w:val="nil"/>
                  </w:tcBorders>
                  <w:vAlign w:val="center"/>
                </w:tcPr>
                <w:p>
                  <w:pPr>
                    <w:bidi w:val="0"/>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大气沉降</w:t>
                  </w:r>
                </w:p>
              </w:tc>
              <w:tc>
                <w:tcPr>
                  <w:tcW w:w="1247" w:type="pct"/>
                  <w:tcBorders>
                    <w:top w:val="single" w:color="000000" w:sz="4" w:space="0"/>
                    <w:left w:val="single" w:color="000000" w:sz="4" w:space="0"/>
                    <w:bottom w:val="single" w:color="000000" w:sz="4" w:space="0"/>
                    <w:right w:val="single" w:color="000000" w:sz="4" w:space="0"/>
                    <w:tl2br w:val="nil"/>
                    <w:tr2bl w:val="nil"/>
                  </w:tcBorders>
                  <w:vAlign w:val="center"/>
                </w:tcPr>
                <w:p>
                  <w:pPr>
                    <w:bidi w:val="0"/>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地面漫流</w:t>
                  </w:r>
                </w:p>
              </w:tc>
              <w:tc>
                <w:tcPr>
                  <w:tcW w:w="1247" w:type="pct"/>
                  <w:tcBorders>
                    <w:top w:val="single" w:color="000000" w:sz="4" w:space="0"/>
                    <w:left w:val="single" w:color="000000" w:sz="4" w:space="0"/>
                    <w:bottom w:val="single" w:color="000000" w:sz="4" w:space="0"/>
                    <w:right w:val="single" w:color="000000" w:sz="4" w:space="0"/>
                    <w:tl2br w:val="nil"/>
                    <w:tr2bl w:val="nil"/>
                  </w:tcBorders>
                  <w:vAlign w:val="center"/>
                </w:tcPr>
                <w:p>
                  <w:pPr>
                    <w:bidi w:val="0"/>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垂直入渗</w:t>
                  </w:r>
                </w:p>
              </w:tc>
              <w:tc>
                <w:tcPr>
                  <w:tcW w:w="1256" w:type="pct"/>
                  <w:tcBorders>
                    <w:top w:val="single" w:color="000000" w:sz="4" w:space="0"/>
                    <w:left w:val="single" w:color="000000" w:sz="4" w:space="0"/>
                    <w:bottom w:val="single" w:color="000000" w:sz="4" w:space="0"/>
                    <w:right w:val="single" w:color="000000" w:sz="4" w:space="0"/>
                    <w:tl2br w:val="nil"/>
                    <w:tr2bl w:val="nil"/>
                  </w:tcBorders>
                  <w:vAlign w:val="center"/>
                </w:tcPr>
                <w:p>
                  <w:pPr>
                    <w:bidi w:val="0"/>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其他</w:t>
                  </w:r>
                </w:p>
              </w:tc>
            </w:tr>
            <w:tr>
              <w:tblPrEx>
                <w:tblCellMar>
                  <w:top w:w="0" w:type="dxa"/>
                  <w:left w:w="108" w:type="dxa"/>
                  <w:bottom w:w="0" w:type="dxa"/>
                  <w:right w:w="108" w:type="dxa"/>
                </w:tblCellMar>
              </w:tblPrEx>
              <w:trPr>
                <w:trHeight w:val="397" w:hRule="atLeast"/>
              </w:trPr>
              <w:tc>
                <w:tcPr>
                  <w:tcW w:w="1247" w:type="pct"/>
                  <w:tcBorders>
                    <w:top w:val="single" w:color="000000" w:sz="4" w:space="0"/>
                    <w:left w:val="single" w:color="000000" w:sz="4" w:space="0"/>
                    <w:bottom w:val="single" w:color="000000" w:sz="4" w:space="0"/>
                    <w:right w:val="single" w:color="000000" w:sz="4" w:space="0"/>
                    <w:tl2br w:val="nil"/>
                    <w:tr2bl w:val="nil"/>
                  </w:tcBorders>
                  <w:vAlign w:val="center"/>
                </w:tcPr>
                <w:p>
                  <w:pPr>
                    <w:bidi w:val="0"/>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1247" w:type="pct"/>
                  <w:tcBorders>
                    <w:top w:val="single" w:color="000000" w:sz="4" w:space="0"/>
                    <w:left w:val="single" w:color="000000" w:sz="4" w:space="0"/>
                    <w:bottom w:val="single" w:color="000000" w:sz="4" w:space="0"/>
                    <w:right w:val="single" w:color="000000" w:sz="4" w:space="0"/>
                    <w:tl2br w:val="nil"/>
                    <w:tr2bl w:val="nil"/>
                  </w:tcBorders>
                  <w:vAlign w:val="center"/>
                </w:tcPr>
                <w:p>
                  <w:pPr>
                    <w:bidi w:val="0"/>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1247" w:type="pct"/>
                  <w:tcBorders>
                    <w:top w:val="single" w:color="000000" w:sz="4" w:space="0"/>
                    <w:left w:val="single" w:color="000000" w:sz="4" w:space="0"/>
                    <w:bottom w:val="single" w:color="000000" w:sz="4" w:space="0"/>
                    <w:right w:val="single" w:color="000000" w:sz="4" w:space="0"/>
                    <w:tl2br w:val="nil"/>
                    <w:tr2bl w:val="nil"/>
                  </w:tcBorders>
                  <w:vAlign w:val="center"/>
                </w:tcPr>
                <w:p>
                  <w:pPr>
                    <w:bidi w:val="0"/>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256" w:type="pct"/>
                  <w:tcBorders>
                    <w:top w:val="single" w:color="000000" w:sz="4" w:space="0"/>
                    <w:left w:val="single" w:color="000000" w:sz="4" w:space="0"/>
                    <w:bottom w:val="single" w:color="000000" w:sz="4" w:space="0"/>
                    <w:right w:val="single" w:color="000000" w:sz="4" w:space="0"/>
                    <w:tl2br w:val="nil"/>
                    <w:tr2bl w:val="nil"/>
                  </w:tcBorders>
                  <w:vAlign w:val="center"/>
                </w:tcPr>
                <w:p>
                  <w:pPr>
                    <w:bidi w:val="0"/>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r>
          </w:tbl>
          <w:p>
            <w:pPr>
              <w:bidi w:val="0"/>
              <w:spacing w:line="240" w:lineRule="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4-2</w:t>
            </w:r>
            <w:r>
              <w:rPr>
                <w:rFonts w:hint="eastAsia" w:cs="Times New Roman"/>
                <w:b/>
                <w:bCs/>
                <w:sz w:val="21"/>
                <w:szCs w:val="21"/>
                <w:lang w:val="en-US" w:eastAsia="zh-CN"/>
              </w:rPr>
              <w:t>1</w:t>
            </w:r>
            <w:r>
              <w:rPr>
                <w:rFonts w:hint="default"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rPr>
              <w:t xml:space="preserve"> 项目土壤环境影响源及影响因子识别表</w:t>
            </w:r>
          </w:p>
          <w:tbl>
            <w:tblPr>
              <w:tblStyle w:val="15"/>
              <w:tblW w:w="4998" w:type="pct"/>
              <w:tblInd w:w="0" w:type="dxa"/>
              <w:tblLayout w:type="autofit"/>
              <w:tblCellMar>
                <w:top w:w="0" w:type="dxa"/>
                <w:left w:w="108" w:type="dxa"/>
                <w:bottom w:w="0" w:type="dxa"/>
                <w:right w:w="108" w:type="dxa"/>
              </w:tblCellMar>
            </w:tblPr>
            <w:tblGrid>
              <w:gridCol w:w="977"/>
              <w:gridCol w:w="2018"/>
              <w:gridCol w:w="1600"/>
              <w:gridCol w:w="1931"/>
              <w:gridCol w:w="1258"/>
              <w:gridCol w:w="994"/>
            </w:tblGrid>
            <w:tr>
              <w:tblPrEx>
                <w:tblCellMar>
                  <w:top w:w="0" w:type="dxa"/>
                  <w:left w:w="108" w:type="dxa"/>
                  <w:bottom w:w="0" w:type="dxa"/>
                  <w:right w:w="108" w:type="dxa"/>
                </w:tblCellMar>
              </w:tblPrEx>
              <w:trPr>
                <w:trHeight w:val="397" w:hRule="atLeast"/>
              </w:trPr>
              <w:tc>
                <w:tcPr>
                  <w:tcW w:w="556" w:type="pct"/>
                  <w:tcBorders>
                    <w:top w:val="single" w:color="000000" w:sz="4" w:space="0"/>
                    <w:left w:val="single" w:color="000000" w:sz="4" w:space="0"/>
                    <w:bottom w:val="single" w:color="000000" w:sz="4" w:space="0"/>
                    <w:right w:val="single" w:color="000000" w:sz="4" w:space="0"/>
                    <w:tl2br w:val="nil"/>
                    <w:tr2bl w:val="nil"/>
                  </w:tcBorders>
                  <w:vAlign w:val="center"/>
                </w:tcPr>
                <w:p>
                  <w:pPr>
                    <w:bidi w:val="0"/>
                    <w:spacing w:line="240" w:lineRule="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污染源</w:t>
                  </w:r>
                </w:p>
              </w:tc>
              <w:tc>
                <w:tcPr>
                  <w:tcW w:w="1149" w:type="pct"/>
                  <w:tcBorders>
                    <w:top w:val="single" w:color="000000" w:sz="4" w:space="0"/>
                    <w:left w:val="single" w:color="000000" w:sz="4" w:space="0"/>
                    <w:bottom w:val="single" w:color="000000" w:sz="4" w:space="0"/>
                    <w:right w:val="single" w:color="000000" w:sz="4" w:space="0"/>
                    <w:tl2br w:val="nil"/>
                    <w:tr2bl w:val="nil"/>
                  </w:tcBorders>
                  <w:vAlign w:val="center"/>
                </w:tcPr>
                <w:p>
                  <w:pPr>
                    <w:bidi w:val="0"/>
                    <w:spacing w:line="240" w:lineRule="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工艺流程/节点</w:t>
                  </w:r>
                </w:p>
              </w:tc>
              <w:tc>
                <w:tcPr>
                  <w:tcW w:w="911" w:type="pct"/>
                  <w:tcBorders>
                    <w:top w:val="single" w:color="000000" w:sz="4" w:space="0"/>
                    <w:left w:val="single" w:color="000000" w:sz="4" w:space="0"/>
                    <w:bottom w:val="single" w:color="000000" w:sz="4" w:space="0"/>
                    <w:right w:val="single" w:color="000000" w:sz="4" w:space="0"/>
                    <w:tl2br w:val="nil"/>
                    <w:tr2bl w:val="nil"/>
                  </w:tcBorders>
                  <w:vAlign w:val="center"/>
                </w:tcPr>
                <w:p>
                  <w:pPr>
                    <w:bidi w:val="0"/>
                    <w:spacing w:line="240" w:lineRule="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污染途径</w:t>
                  </w:r>
                </w:p>
              </w:tc>
              <w:tc>
                <w:tcPr>
                  <w:tcW w:w="1099" w:type="pct"/>
                  <w:tcBorders>
                    <w:top w:val="single" w:color="000000" w:sz="4" w:space="0"/>
                    <w:left w:val="single" w:color="000000" w:sz="4" w:space="0"/>
                    <w:bottom w:val="single" w:color="000000" w:sz="4" w:space="0"/>
                    <w:right w:val="single" w:color="000000" w:sz="4" w:space="0"/>
                    <w:tl2br w:val="nil"/>
                    <w:tr2bl w:val="nil"/>
                  </w:tcBorders>
                  <w:vAlign w:val="center"/>
                </w:tcPr>
                <w:p>
                  <w:pPr>
                    <w:bidi w:val="0"/>
                    <w:spacing w:line="240" w:lineRule="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污染物指标</w:t>
                  </w:r>
                </w:p>
              </w:tc>
              <w:tc>
                <w:tcPr>
                  <w:tcW w:w="716" w:type="pct"/>
                  <w:tcBorders>
                    <w:top w:val="single" w:color="000000" w:sz="4" w:space="0"/>
                    <w:left w:val="single" w:color="000000" w:sz="4" w:space="0"/>
                    <w:bottom w:val="single" w:color="000000" w:sz="4" w:space="0"/>
                    <w:right w:val="single" w:color="000000" w:sz="4" w:space="0"/>
                    <w:tl2br w:val="nil"/>
                    <w:tr2bl w:val="nil"/>
                  </w:tcBorders>
                  <w:vAlign w:val="center"/>
                </w:tcPr>
                <w:p>
                  <w:pPr>
                    <w:bidi w:val="0"/>
                    <w:spacing w:line="240" w:lineRule="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特征因子</w:t>
                  </w:r>
                </w:p>
              </w:tc>
              <w:tc>
                <w:tcPr>
                  <w:tcW w:w="566" w:type="pct"/>
                  <w:tcBorders>
                    <w:top w:val="single" w:color="000000" w:sz="4" w:space="0"/>
                    <w:left w:val="single" w:color="000000" w:sz="4" w:space="0"/>
                    <w:bottom w:val="single" w:color="000000" w:sz="4" w:space="0"/>
                    <w:right w:val="single" w:color="000000" w:sz="4" w:space="0"/>
                    <w:tl2br w:val="nil"/>
                    <w:tr2bl w:val="nil"/>
                  </w:tcBorders>
                  <w:vAlign w:val="center"/>
                </w:tcPr>
                <w:p>
                  <w:pPr>
                    <w:bidi w:val="0"/>
                    <w:spacing w:line="240" w:lineRule="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备注</w:t>
                  </w:r>
                </w:p>
              </w:tc>
            </w:tr>
            <w:tr>
              <w:tblPrEx>
                <w:tblCellMar>
                  <w:top w:w="0" w:type="dxa"/>
                  <w:left w:w="108" w:type="dxa"/>
                  <w:bottom w:w="0" w:type="dxa"/>
                  <w:right w:w="108" w:type="dxa"/>
                </w:tblCellMar>
              </w:tblPrEx>
              <w:trPr>
                <w:trHeight w:val="397" w:hRule="atLeast"/>
              </w:trPr>
              <w:tc>
                <w:tcPr>
                  <w:tcW w:w="556" w:type="pct"/>
                  <w:tcBorders>
                    <w:top w:val="single" w:color="000000" w:sz="4" w:space="0"/>
                    <w:left w:val="single" w:color="000000" w:sz="4" w:space="0"/>
                    <w:bottom w:val="single" w:color="000000" w:sz="4" w:space="0"/>
                    <w:right w:val="single" w:color="000000" w:sz="4" w:space="0"/>
                    <w:tl2br w:val="nil"/>
                    <w:tr2bl w:val="nil"/>
                  </w:tcBorders>
                  <w:vAlign w:val="center"/>
                </w:tcPr>
                <w:p>
                  <w:pPr>
                    <w:bidi w:val="0"/>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1149" w:type="pct"/>
                  <w:tcBorders>
                    <w:top w:val="single" w:color="000000" w:sz="4" w:space="0"/>
                    <w:left w:val="single" w:color="000000" w:sz="4" w:space="0"/>
                    <w:bottom w:val="single" w:color="000000" w:sz="4" w:space="0"/>
                    <w:right w:val="single" w:color="000000" w:sz="4" w:space="0"/>
                    <w:tl2br w:val="nil"/>
                    <w:tr2bl w:val="nil"/>
                  </w:tcBorders>
                  <w:vAlign w:val="center"/>
                </w:tcPr>
                <w:p>
                  <w:pPr>
                    <w:bidi w:val="0"/>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污水处理设施</w:t>
                  </w:r>
                </w:p>
              </w:tc>
              <w:tc>
                <w:tcPr>
                  <w:tcW w:w="911" w:type="pct"/>
                  <w:tcBorders>
                    <w:top w:val="single" w:color="000000" w:sz="4" w:space="0"/>
                    <w:left w:val="single" w:color="000000" w:sz="4" w:space="0"/>
                    <w:bottom w:val="single" w:color="000000" w:sz="4" w:space="0"/>
                    <w:right w:val="single" w:color="000000" w:sz="4" w:space="0"/>
                    <w:tl2br w:val="nil"/>
                    <w:tr2bl w:val="nil"/>
                  </w:tcBorders>
                  <w:vAlign w:val="center"/>
                </w:tcPr>
                <w:p>
                  <w:pPr>
                    <w:bidi w:val="0"/>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垂直入渗</w:t>
                  </w:r>
                </w:p>
              </w:tc>
              <w:tc>
                <w:tcPr>
                  <w:tcW w:w="1099" w:type="pct"/>
                  <w:tcBorders>
                    <w:top w:val="single" w:color="000000" w:sz="4" w:space="0"/>
                    <w:left w:val="single" w:color="000000" w:sz="4" w:space="0"/>
                    <w:bottom w:val="single" w:color="000000" w:sz="4" w:space="0"/>
                    <w:right w:val="single" w:color="000000" w:sz="4" w:space="0"/>
                    <w:tl2br w:val="nil"/>
                    <w:tr2bl w:val="nil"/>
                  </w:tcBorders>
                  <w:vAlign w:val="center"/>
                </w:tcPr>
                <w:p>
                  <w:pPr>
                    <w:bidi w:val="0"/>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COD、氨氮</w:t>
                  </w:r>
                </w:p>
              </w:tc>
              <w:tc>
                <w:tcPr>
                  <w:tcW w:w="716" w:type="pct"/>
                  <w:tcBorders>
                    <w:top w:val="single" w:color="000000" w:sz="4" w:space="0"/>
                    <w:left w:val="single" w:color="000000" w:sz="4" w:space="0"/>
                    <w:bottom w:val="single" w:color="000000" w:sz="4" w:space="0"/>
                    <w:right w:val="single" w:color="000000" w:sz="4" w:space="0"/>
                    <w:tl2br w:val="nil"/>
                    <w:tr2bl w:val="nil"/>
                  </w:tcBorders>
                  <w:vAlign w:val="center"/>
                </w:tcPr>
                <w:p>
                  <w:pPr>
                    <w:bidi w:val="0"/>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66" w:type="pct"/>
                  <w:tcBorders>
                    <w:top w:val="single" w:color="000000" w:sz="4" w:space="0"/>
                    <w:left w:val="single" w:color="000000" w:sz="4" w:space="0"/>
                    <w:bottom w:val="single" w:color="000000" w:sz="4" w:space="0"/>
                    <w:right w:val="single" w:color="000000" w:sz="4" w:space="0"/>
                    <w:tl2br w:val="nil"/>
                    <w:tr2bl w:val="nil"/>
                  </w:tcBorders>
                  <w:vAlign w:val="center"/>
                </w:tcPr>
                <w:p>
                  <w:pPr>
                    <w:bidi w:val="0"/>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事故</w:t>
                  </w:r>
                </w:p>
              </w:tc>
            </w:tr>
          </w:tbl>
          <w:p>
            <w:pPr>
              <w:keepNext w:val="0"/>
              <w:keepLines w:val="0"/>
              <w:pageBreakBefore w:val="0"/>
              <w:widowControl w:val="0"/>
              <w:kinsoku/>
              <w:wordWrap/>
              <w:overflowPunct/>
              <w:topLinePunct w:val="0"/>
              <w:bidi w:val="0"/>
              <w:adjustRightInd w:val="0"/>
              <w:snapToGrid w:val="0"/>
              <w:spacing w:before="0" w:line="500" w:lineRule="exact"/>
              <w:ind w:firstLine="480" w:firstLineChars="200"/>
              <w:jc w:val="left"/>
              <w:textAlignment w:val="auto"/>
              <w:rPr>
                <w:rFonts w:hint="default"/>
              </w:rPr>
            </w:pPr>
            <w:r>
              <w:rPr>
                <w:rFonts w:hint="default"/>
              </w:rPr>
              <w:t>项目建成后，污水处理厂内的构筑物、污水输送管线及厂区地面均会按照防腐防渗要求进行铺设，项目污水处理厂的构筑物、污水输送管线及厂区地面不会与土壤表层直接接触。正常状况下，构筑物、污水输送管线及厂区地面按防腐防渗要求铺设的前提下，上述情境均不会通过垂直入渗形式进入周边土壤环境。另外，项目区内各类废物的处置过程中均采取严格的防渗，避免了各类废物和土壤的直接接触，也在一定程度上减少了各类废物进入土壤环境的几率。总的来说，项目通过垂直入渗途径污染土壤环境的可能性较小，且影响也较小。</w:t>
            </w:r>
          </w:p>
          <w:p>
            <w:pPr>
              <w:keepNext w:val="0"/>
              <w:keepLines w:val="0"/>
              <w:pageBreakBefore w:val="0"/>
              <w:widowControl w:val="0"/>
              <w:kinsoku/>
              <w:wordWrap/>
              <w:overflowPunct/>
              <w:topLinePunct w:val="0"/>
              <w:bidi w:val="0"/>
              <w:adjustRightInd w:val="0"/>
              <w:snapToGrid w:val="0"/>
              <w:spacing w:before="0" w:line="500" w:lineRule="exact"/>
              <w:ind w:firstLine="480" w:firstLineChars="200"/>
              <w:jc w:val="left"/>
              <w:textAlignment w:val="auto"/>
            </w:pPr>
            <w:r>
              <w:rPr>
                <w:rFonts w:hint="eastAsia"/>
              </w:rPr>
              <w:t>为了保护项目拟建区域土壤环境，项目建设与运行过程中，对土壤性质较好的区域表土单独堆存，用于项目区配套绿化工程覆土使用，使植被覆盖率有一定的保证；对于项目占地及周边区域内处于自然状态且不开发利用的土地，使之保留原始存在状态，不加以破坏，并尽量利用占地范围内建设用地的区域开展建设活动，并做好项目区及周边的水土保持工作，</w:t>
            </w:r>
            <w:r>
              <w:t>加强绿化，多种</w:t>
            </w:r>
            <w:r>
              <w:rPr>
                <w:rFonts w:hint="eastAsia"/>
              </w:rPr>
              <w:t>植当地常见植被物种，保护土壤环境。</w:t>
            </w:r>
          </w:p>
          <w:p>
            <w:pPr>
              <w:keepNext w:val="0"/>
              <w:keepLines w:val="0"/>
              <w:pageBreakBefore w:val="0"/>
              <w:widowControl w:val="0"/>
              <w:kinsoku/>
              <w:wordWrap/>
              <w:overflowPunct/>
              <w:topLinePunct w:val="0"/>
              <w:bidi w:val="0"/>
              <w:adjustRightInd w:val="0"/>
              <w:snapToGrid w:val="0"/>
              <w:spacing w:before="0" w:line="500" w:lineRule="exact"/>
              <w:ind w:firstLine="480" w:firstLineChars="200"/>
              <w:jc w:val="left"/>
              <w:textAlignment w:val="auto"/>
            </w:pPr>
            <w:r>
              <w:rPr>
                <w:rFonts w:hint="eastAsia"/>
              </w:rPr>
              <w:t>经过上述分析，在项目运营过程和废物处置过程中，采取的污染防治手段得当、可靠的前提下，项目区内的生产运行对区域土壤环境的影响是可接受的。</w:t>
            </w:r>
          </w:p>
          <w:p>
            <w:pPr>
              <w:keepNext w:val="0"/>
              <w:keepLines w:val="0"/>
              <w:pageBreakBefore w:val="0"/>
              <w:widowControl w:val="0"/>
              <w:kinsoku/>
              <w:wordWrap/>
              <w:overflowPunct/>
              <w:topLinePunct w:val="0"/>
              <w:autoSpaceDE/>
              <w:autoSpaceDN/>
              <w:bidi w:val="0"/>
              <w:adjustRightInd w:val="0"/>
              <w:snapToGrid w:val="0"/>
              <w:spacing w:before="0" w:line="500" w:lineRule="exact"/>
              <w:ind w:firstLine="480" w:firstLineChars="200"/>
              <w:jc w:val="left"/>
              <w:textAlignment w:val="auto"/>
            </w:pPr>
            <w:r>
              <w:rPr>
                <w:rFonts w:hint="eastAsia"/>
              </w:rPr>
              <w:t>⑸保护措施与对策</w:t>
            </w:r>
          </w:p>
          <w:p>
            <w:pPr>
              <w:keepNext w:val="0"/>
              <w:keepLines w:val="0"/>
              <w:pageBreakBefore w:val="0"/>
              <w:widowControl w:val="0"/>
              <w:kinsoku/>
              <w:wordWrap/>
              <w:overflowPunct/>
              <w:topLinePunct w:val="0"/>
              <w:autoSpaceDE/>
              <w:autoSpaceDN/>
              <w:bidi w:val="0"/>
              <w:adjustRightInd w:val="0"/>
              <w:snapToGrid w:val="0"/>
              <w:spacing w:before="0" w:line="500" w:lineRule="exact"/>
              <w:ind w:firstLine="480" w:firstLineChars="200"/>
              <w:jc w:val="left"/>
              <w:textAlignment w:val="auto"/>
            </w:pPr>
            <w:r>
              <w:rPr>
                <w:rFonts w:hint="eastAsia"/>
              </w:rPr>
              <w:t>源头控制：按照相关规范要求，把控进入项目污水处理站的污水类别，</w:t>
            </w:r>
            <w:r>
              <w:t>严格检查，禁止工业</w:t>
            </w:r>
            <w:r>
              <w:rPr>
                <w:rFonts w:hint="eastAsia"/>
              </w:rPr>
              <w:t>废水</w:t>
            </w:r>
            <w:r>
              <w:t>、</w:t>
            </w:r>
            <w:r>
              <w:rPr>
                <w:rFonts w:hint="eastAsia"/>
              </w:rPr>
              <w:t>不符合规定要求的</w:t>
            </w:r>
            <w:r>
              <w:t>医疗</w:t>
            </w:r>
            <w:r>
              <w:rPr>
                <w:rFonts w:hint="eastAsia"/>
              </w:rPr>
              <w:t>废水等污水</w:t>
            </w:r>
            <w:r>
              <w:t>进入本</w:t>
            </w:r>
            <w:r>
              <w:rPr>
                <w:rFonts w:hint="eastAsia"/>
              </w:rPr>
              <w:t>污水处理站；定期监测：应制定监测计划，定期跟踪厂区内填埋区以及厂区外附近农田土壤环境质量，建立跟踪监测制度，以便及时发现问题，采取有效措施。</w:t>
            </w:r>
          </w:p>
          <w:p>
            <w:pPr>
              <w:keepNext w:val="0"/>
              <w:keepLines w:val="0"/>
              <w:pageBreakBefore w:val="0"/>
              <w:widowControl w:val="0"/>
              <w:kinsoku/>
              <w:wordWrap/>
              <w:overflowPunct/>
              <w:topLinePunct w:val="0"/>
              <w:autoSpaceDE/>
              <w:autoSpaceDN/>
              <w:bidi w:val="0"/>
              <w:spacing w:before="0" w:line="500" w:lineRule="exact"/>
              <w:ind w:firstLine="480" w:firstLineChars="200"/>
              <w:jc w:val="left"/>
              <w:textAlignment w:val="auto"/>
            </w:pPr>
            <w:r>
              <w:rPr>
                <w:rFonts w:hint="eastAsia"/>
              </w:rPr>
              <w:t>⑹</w:t>
            </w:r>
            <w:r>
              <w:t>土壤环境影</w:t>
            </w:r>
            <w:r>
              <w:rPr>
                <w:rFonts w:hint="eastAsia"/>
              </w:rPr>
              <w:t>响评价结论</w:t>
            </w:r>
          </w:p>
          <w:p>
            <w:pPr>
              <w:keepNext w:val="0"/>
              <w:keepLines w:val="0"/>
              <w:pageBreakBefore w:val="0"/>
              <w:widowControl w:val="0"/>
              <w:kinsoku/>
              <w:wordWrap/>
              <w:overflowPunct/>
              <w:topLinePunct w:val="0"/>
              <w:autoSpaceDE/>
              <w:autoSpaceDN/>
              <w:bidi w:val="0"/>
              <w:adjustRightInd w:val="0"/>
              <w:snapToGrid w:val="0"/>
              <w:spacing w:before="0" w:line="500" w:lineRule="exact"/>
              <w:ind w:firstLine="480" w:firstLineChars="200"/>
              <w:jc w:val="left"/>
              <w:textAlignment w:val="auto"/>
              <w:rPr>
                <w:rFonts w:hint="default"/>
                <w:lang w:val="en-US" w:eastAsia="zh-CN"/>
              </w:rPr>
            </w:pPr>
            <w:r>
              <w:rPr>
                <w:rFonts w:hint="eastAsia"/>
              </w:rPr>
              <w:t>项目属于土壤污染影响型建设项目，产生的影响途径为垂直入渗，通过影响分析及预测分析可知，项目各预测污染因子对场区内土壤和场区外土壤环境敏感目标影响均满足相应标准要求，项目的实施对土壤环境造成的影响可接受。</w:t>
            </w:r>
          </w:p>
          <w:p>
            <w:pPr>
              <w:keepNext w:val="0"/>
              <w:keepLines w:val="0"/>
              <w:pageBreakBefore w:val="0"/>
              <w:widowControl w:val="0"/>
              <w:kinsoku/>
              <w:wordWrap/>
              <w:overflowPunct/>
              <w:topLinePunct w:val="0"/>
              <w:autoSpaceDE w:val="0"/>
              <w:autoSpaceDN w:val="0"/>
              <w:bidi w:val="0"/>
              <w:adjustRightInd/>
              <w:snapToGrid/>
              <w:spacing w:before="0" w:line="500" w:lineRule="exact"/>
              <w:ind w:leftChars="0" w:firstLine="482" w:firstLineChars="200"/>
              <w:jc w:val="left"/>
              <w:textAlignment w:val="auto"/>
              <w:rPr>
                <w:rFonts w:hint="default"/>
                <w:b/>
                <w:bCs/>
                <w:lang w:val="en-US" w:eastAsia="zh-CN"/>
              </w:rPr>
            </w:pPr>
            <w:r>
              <w:rPr>
                <w:rFonts w:hint="eastAsia"/>
                <w:b/>
                <w:bCs/>
                <w:lang w:val="en-US" w:eastAsia="zh-CN"/>
              </w:rPr>
              <w:t>7</w:t>
            </w:r>
            <w:r>
              <w:rPr>
                <w:rFonts w:hint="default"/>
                <w:b/>
                <w:bCs/>
                <w:lang w:val="en-US" w:eastAsia="zh-CN"/>
              </w:rPr>
              <w:t>、环境风险</w:t>
            </w:r>
          </w:p>
          <w:p>
            <w:pPr>
              <w:keepNext w:val="0"/>
              <w:keepLines w:val="0"/>
              <w:pageBreakBefore w:val="0"/>
              <w:widowControl w:val="0"/>
              <w:kinsoku/>
              <w:wordWrap/>
              <w:overflowPunct/>
              <w:topLinePunct w:val="0"/>
              <w:bidi w:val="0"/>
              <w:adjustRightInd/>
              <w:snapToGrid/>
              <w:spacing w:before="0" w:line="500" w:lineRule="exact"/>
              <w:ind w:leftChars="0" w:firstLine="480" w:firstLineChars="200"/>
              <w:jc w:val="left"/>
              <w:textAlignment w:val="auto"/>
            </w:pPr>
            <w:r>
              <w:rPr>
                <w:rFonts w:hint="eastAsia"/>
                <w:lang w:val="en-US" w:eastAsia="zh-CN"/>
              </w:rPr>
              <w:t>7.1</w:t>
            </w:r>
            <w:r>
              <w:rPr>
                <w:rFonts w:hint="eastAsia"/>
              </w:rPr>
              <w:t>风险</w:t>
            </w:r>
            <w:r>
              <w:t>源识别</w:t>
            </w:r>
          </w:p>
          <w:p>
            <w:pPr>
              <w:pStyle w:val="24"/>
              <w:keepNext w:val="0"/>
              <w:keepLines w:val="0"/>
              <w:pageBreakBefore w:val="0"/>
              <w:widowControl w:val="0"/>
              <w:numPr>
                <w:ilvl w:val="0"/>
                <w:numId w:val="0"/>
              </w:numPr>
              <w:kinsoku/>
              <w:wordWrap/>
              <w:overflowPunct/>
              <w:topLinePunct w:val="0"/>
              <w:bidi w:val="0"/>
              <w:adjustRightInd/>
              <w:snapToGrid/>
              <w:spacing w:before="0" w:line="500" w:lineRule="exact"/>
              <w:ind w:leftChars="0" w:right="0" w:rightChars="0" w:firstLine="480" w:firstLineChars="200"/>
              <w:jc w:val="left"/>
              <w:textAlignment w:val="auto"/>
            </w:pPr>
            <w:r>
              <w:rPr>
                <w:rFonts w:hint="eastAsia"/>
              </w:rPr>
              <w:t>⑴物质危险性识别</w:t>
            </w:r>
          </w:p>
          <w:p>
            <w:pPr>
              <w:keepNext w:val="0"/>
              <w:keepLines w:val="0"/>
              <w:pageBreakBefore w:val="0"/>
              <w:widowControl w:val="0"/>
              <w:kinsoku/>
              <w:wordWrap/>
              <w:overflowPunct/>
              <w:topLinePunct w:val="0"/>
              <w:autoSpaceDE/>
              <w:autoSpaceDN/>
              <w:bidi w:val="0"/>
              <w:adjustRightInd/>
              <w:snapToGrid/>
              <w:spacing w:before="0" w:line="500" w:lineRule="exact"/>
              <w:ind w:leftChars="0" w:firstLine="480" w:firstLineChars="200"/>
              <w:jc w:val="left"/>
              <w:textAlignment w:val="auto"/>
              <w:rPr>
                <w:rFonts w:hint="eastAsia"/>
                <w:lang w:val="en-US" w:eastAsia="zh-CN"/>
              </w:rPr>
            </w:pPr>
            <w:r>
              <w:rPr>
                <w:rFonts w:hint="eastAsia"/>
                <w:lang w:val="en-US" w:eastAsia="zh-CN"/>
              </w:rPr>
              <w:t>①项目涉及的危险物质主要为次氯酸钠溶液，具有一定的刺激性，风险类型为泄漏。其理化性质和危险特性见下表。</w:t>
            </w:r>
          </w:p>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w:t>
            </w:r>
            <w:r>
              <w:rPr>
                <w:rFonts w:hint="eastAsia" w:ascii="Times New Roman" w:hAnsi="Times New Roman" w:eastAsia="宋体" w:cs="Times New Roman"/>
                <w:b/>
                <w:bCs/>
                <w:sz w:val="21"/>
                <w:szCs w:val="21"/>
                <w:lang w:val="en-US" w:eastAsia="zh-CN"/>
              </w:rPr>
              <w:t>4-2</w:t>
            </w:r>
            <w:r>
              <w:rPr>
                <w:rFonts w:hint="eastAsia" w:cs="Times New Roman"/>
                <w:b/>
                <w:bCs/>
                <w:sz w:val="21"/>
                <w:szCs w:val="21"/>
                <w:lang w:val="en-US" w:eastAsia="zh-CN"/>
              </w:rPr>
              <w:t>2</w:t>
            </w:r>
            <w:r>
              <w:rPr>
                <w:rFonts w:hint="default" w:ascii="Times New Roman" w:hAnsi="Times New Roman" w:eastAsia="宋体" w:cs="Times New Roman"/>
                <w:b/>
                <w:bCs/>
                <w:sz w:val="21"/>
                <w:szCs w:val="21"/>
                <w:lang w:val="en-US" w:eastAsia="zh-CN"/>
              </w:rPr>
              <w:t xml:space="preserve">  次氯酸钠理化性质一览表</w:t>
            </w:r>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1663"/>
              <w:gridCol w:w="3337"/>
              <w:gridCol w:w="1019"/>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标识</w:t>
                  </w:r>
                </w:p>
              </w:tc>
              <w:tc>
                <w:tcPr>
                  <w:tcW w:w="94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次氯酸钠</w:t>
                  </w:r>
                </w:p>
              </w:tc>
              <w:tc>
                <w:tcPr>
                  <w:tcW w:w="3595"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英文名：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94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分子式：NaClO</w:t>
                  </w:r>
                </w:p>
              </w:tc>
              <w:tc>
                <w:tcPr>
                  <w:tcW w:w="190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分子量：74.44</w:t>
                  </w:r>
                </w:p>
              </w:tc>
              <w:tc>
                <w:tcPr>
                  <w:tcW w:w="1692"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CAS 号：7681-52-9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7" w:hRule="atLeast"/>
                <w:jc w:val="center"/>
              </w:trPr>
              <w:tc>
                <w:tcPr>
                  <w:tcW w:w="45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理化性质</w:t>
                  </w:r>
                </w:p>
              </w:tc>
              <w:tc>
                <w:tcPr>
                  <w:tcW w:w="94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外观与性状</w:t>
                  </w:r>
                </w:p>
              </w:tc>
              <w:tc>
                <w:tcPr>
                  <w:tcW w:w="3595"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外观与形状：微黄色溶液，有似氯气的气味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7" w:hRule="atLeast"/>
                <w:jc w:val="center"/>
              </w:trPr>
              <w:tc>
                <w:tcPr>
                  <w:tcW w:w="45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94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熔点（℃）</w:t>
                  </w:r>
                </w:p>
              </w:tc>
              <w:tc>
                <w:tcPr>
                  <w:tcW w:w="190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58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密度</w:t>
                  </w:r>
                </w:p>
              </w:tc>
              <w:tc>
                <w:tcPr>
                  <w:tcW w:w="111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1.10g/cm3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7" w:hRule="atLeast"/>
                <w:jc w:val="center"/>
              </w:trPr>
              <w:tc>
                <w:tcPr>
                  <w:tcW w:w="45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94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溶解性</w:t>
                  </w:r>
                </w:p>
              </w:tc>
              <w:tc>
                <w:tcPr>
                  <w:tcW w:w="190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微溶于水，溶于乙醇、乙醚、 苯</w:t>
                  </w:r>
                </w:p>
              </w:tc>
              <w:tc>
                <w:tcPr>
                  <w:tcW w:w="58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沸点</w:t>
                  </w:r>
                </w:p>
              </w:tc>
              <w:tc>
                <w:tcPr>
                  <w:tcW w:w="111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7" w:hRule="atLeast"/>
                <w:jc w:val="center"/>
              </w:trPr>
              <w:tc>
                <w:tcPr>
                  <w:tcW w:w="45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94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主要用途</w:t>
                  </w:r>
                </w:p>
              </w:tc>
              <w:tc>
                <w:tcPr>
                  <w:tcW w:w="3595"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应用水的净化，及作消毒剂、纸浆漂白，医药工业中用制氯胺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45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94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禁忌物</w:t>
                  </w:r>
                </w:p>
              </w:tc>
              <w:tc>
                <w:tcPr>
                  <w:tcW w:w="3595"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强酸、易燃或可燃物、二氧化碳、过氧化物、水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7" w:hRule="atLeast"/>
                <w:jc w:val="center"/>
              </w:trPr>
              <w:tc>
                <w:tcPr>
                  <w:tcW w:w="45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94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危险标记</w:t>
                  </w:r>
                </w:p>
              </w:tc>
              <w:tc>
                <w:tcPr>
                  <w:tcW w:w="3595"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健康危害</w:t>
                  </w:r>
                </w:p>
              </w:tc>
              <w:tc>
                <w:tcPr>
                  <w:tcW w:w="94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侵入途径</w:t>
                  </w:r>
                </w:p>
              </w:tc>
              <w:tc>
                <w:tcPr>
                  <w:tcW w:w="3595"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吸入、食入、经皮吸收。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jc w:val="center"/>
              </w:trPr>
              <w:tc>
                <w:tcPr>
                  <w:tcW w:w="45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94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健康危害</w:t>
                  </w:r>
                </w:p>
              </w:tc>
              <w:tc>
                <w:tcPr>
                  <w:tcW w:w="3595"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经常用手接触本品的工人，手掌大量出汗，指甲变薄，毛发脱落。本品 有致敏作用。本品放出的氯气有可能引起中毒。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0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危险特性</w:t>
                  </w:r>
                </w:p>
              </w:tc>
              <w:tc>
                <w:tcPr>
                  <w:tcW w:w="3595"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本品不燃，具腐蚀性，可致人体灼伤，具有致敏性。</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pPr>
            <w:r>
              <w:rPr>
                <w:rFonts w:hint="eastAsia"/>
                <w:lang w:eastAsia="zh-CN"/>
              </w:rPr>
              <w:t>②</w:t>
            </w:r>
            <w:r>
              <w:t>事故排水的环境风险</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rPr>
            </w:pPr>
            <w:r>
              <w:t>污水处理站一旦出现机械故障或停电，会直接影响污水处理站的正常运行，尤其是遇到机械故障或长时间停电不运转会造成污水直接溢流排入受纳水体，使地表水体水质受到污染。污水处理</w:t>
            </w:r>
            <w:r>
              <w:rPr>
                <w:rFonts w:hint="eastAsia"/>
                <w:lang w:eastAsia="zh-CN"/>
              </w:rPr>
              <w:t>站</w:t>
            </w:r>
            <w:r>
              <w:t>发生故障进</w:t>
            </w:r>
            <w:r>
              <w:rPr>
                <w:rFonts w:hint="eastAsia"/>
                <w:lang w:eastAsia="zh-CN"/>
              </w:rPr>
              <w:t>站</w:t>
            </w:r>
            <w:r>
              <w:t>废水未经处理直接排放，对排放口下游水质将产生明显影响。</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jc w:val="left"/>
              <w:textAlignment w:val="auto"/>
              <w:rPr>
                <w:rFonts w:hint="eastAsia"/>
                <w:lang w:val="en-US" w:eastAsia="zh-CN"/>
              </w:rPr>
            </w:pPr>
            <w:r>
              <w:rPr>
                <w:rFonts w:hint="eastAsia"/>
                <w:lang w:val="en-US" w:eastAsia="zh-CN"/>
              </w:rPr>
              <w:t>③风险潜势初判</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lang w:val="en-US" w:eastAsia="zh-CN"/>
              </w:rPr>
            </w:pPr>
            <w:r>
              <w:rPr>
                <w:rFonts w:hint="eastAsia"/>
                <w:lang w:val="en-US" w:eastAsia="zh-CN"/>
              </w:rPr>
              <w:t>根据《建设项目环境风险评价技术导则》（HJ169-2018）的规定，环境风险评价工作等级应根据建设项目涉及的物质及工艺系统危险性和所在地的环境敏感性确定环境风险潜势，然后根据风险潜势确定评价等级。</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lang w:val="en-US" w:eastAsia="zh-CN"/>
              </w:rPr>
            </w:pPr>
            <w:r>
              <w:rPr>
                <w:rFonts w:hint="eastAsia"/>
                <w:lang w:val="en-US" w:eastAsia="zh-CN"/>
              </w:rPr>
              <w:t>项目涉及的危险物质主要为次氯酸钠，根据《建设项目环境风险评价技术导则》（HJ/T169-2018）附录B和附录C中危险物质数量与临界量比值（Q）和所属行业及生产工艺特点（M）对项目危险物质及工艺系统危险性（P）等级进行判断。</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lang w:val="en-US" w:eastAsia="zh-CN"/>
              </w:rPr>
            </w:pPr>
            <w:r>
              <w:rPr>
                <w:rFonts w:hint="eastAsia"/>
                <w:lang w:val="en-US" w:eastAsia="zh-CN"/>
              </w:rPr>
              <w:t>当功能单元内存在多种危险物质时，按下列公式计算物质总量与其临界量比值（Q）：</w:t>
            </w:r>
          </w:p>
          <w:p>
            <w:pPr>
              <w:keepNext w:val="0"/>
              <w:keepLines w:val="0"/>
              <w:pageBreakBefore w:val="0"/>
              <w:widowControl w:val="0"/>
              <w:kinsoku/>
              <w:wordWrap/>
              <w:overflowPunct/>
              <w:topLinePunct w:val="0"/>
              <w:autoSpaceDE/>
              <w:autoSpaceDN/>
              <w:bidi w:val="0"/>
              <w:adjustRightInd/>
              <w:snapToGrid/>
              <w:spacing w:line="500" w:lineRule="exact"/>
              <w:ind w:firstLine="482"/>
              <w:jc w:val="left"/>
              <w:textAlignment w:val="auto"/>
              <w:rPr>
                <w:rFonts w:hint="default"/>
                <w:lang w:val="en-US" w:eastAsia="zh-CN"/>
              </w:rPr>
            </w:pPr>
            <w:r>
              <w:rPr>
                <w:rFonts w:hint="eastAsia"/>
                <w:lang w:val="en-US" w:eastAsia="zh-CN"/>
              </w:rPr>
              <w:t>Q=q1/Q1+q2/Q2+……+qn/Qn；</w:t>
            </w:r>
          </w:p>
          <w:p>
            <w:pPr>
              <w:keepNext w:val="0"/>
              <w:keepLines w:val="0"/>
              <w:pageBreakBefore w:val="0"/>
              <w:widowControl w:val="0"/>
              <w:kinsoku/>
              <w:wordWrap/>
              <w:overflowPunct/>
              <w:topLinePunct w:val="0"/>
              <w:autoSpaceDE/>
              <w:autoSpaceDN/>
              <w:bidi w:val="0"/>
              <w:adjustRightInd/>
              <w:snapToGrid/>
              <w:spacing w:line="500" w:lineRule="exact"/>
              <w:ind w:firstLine="482"/>
              <w:jc w:val="left"/>
              <w:textAlignment w:val="auto"/>
              <w:rPr>
                <w:rFonts w:hint="eastAsia"/>
                <w:lang w:val="en-US" w:eastAsia="zh-CN"/>
              </w:rPr>
            </w:pPr>
            <w:r>
              <w:rPr>
                <w:rFonts w:hint="eastAsia"/>
                <w:lang w:val="en-US" w:eastAsia="zh-CN"/>
              </w:rPr>
              <w:t>式中：q1、q2…qn—每种危险物质最大存在量，t；</w:t>
            </w:r>
          </w:p>
          <w:p>
            <w:pPr>
              <w:keepNext w:val="0"/>
              <w:keepLines w:val="0"/>
              <w:pageBreakBefore w:val="0"/>
              <w:widowControl w:val="0"/>
              <w:kinsoku/>
              <w:wordWrap/>
              <w:overflowPunct/>
              <w:topLinePunct w:val="0"/>
              <w:autoSpaceDE/>
              <w:autoSpaceDN/>
              <w:bidi w:val="0"/>
              <w:adjustRightInd/>
              <w:snapToGrid/>
              <w:spacing w:line="500" w:lineRule="exact"/>
              <w:ind w:firstLine="482"/>
              <w:jc w:val="left"/>
              <w:textAlignment w:val="auto"/>
              <w:rPr>
                <w:rFonts w:hint="eastAsia"/>
                <w:lang w:val="en-US" w:eastAsia="zh-CN"/>
              </w:rPr>
            </w:pPr>
            <w:r>
              <w:rPr>
                <w:rFonts w:hint="eastAsia"/>
                <w:lang w:val="en-US" w:eastAsia="zh-CN"/>
              </w:rPr>
              <w:t>Q1、Q2…Qn—与各危险物质相对应的临界量，t。</w:t>
            </w:r>
          </w:p>
          <w:p>
            <w:pPr>
              <w:keepNext w:val="0"/>
              <w:keepLines w:val="0"/>
              <w:pageBreakBefore w:val="0"/>
              <w:widowControl w:val="0"/>
              <w:kinsoku/>
              <w:wordWrap/>
              <w:overflowPunct/>
              <w:topLinePunct w:val="0"/>
              <w:autoSpaceDE/>
              <w:autoSpaceDN/>
              <w:bidi w:val="0"/>
              <w:adjustRightInd/>
              <w:snapToGrid/>
              <w:spacing w:line="500" w:lineRule="exact"/>
              <w:ind w:firstLine="482"/>
              <w:jc w:val="left"/>
              <w:textAlignment w:val="auto"/>
              <w:rPr>
                <w:rFonts w:hint="eastAsia"/>
                <w:lang w:val="en-US" w:eastAsia="zh-CN"/>
              </w:rPr>
            </w:pPr>
            <w:r>
              <w:rPr>
                <w:rFonts w:hint="eastAsia"/>
                <w:lang w:val="en-US" w:eastAsia="zh-CN"/>
              </w:rPr>
              <w:t>当 Q＜1 时，该项目环境风险潜势为Ⅰ；</w:t>
            </w:r>
          </w:p>
          <w:p>
            <w:pPr>
              <w:keepNext w:val="0"/>
              <w:keepLines w:val="0"/>
              <w:pageBreakBefore w:val="0"/>
              <w:widowControl w:val="0"/>
              <w:kinsoku/>
              <w:wordWrap/>
              <w:overflowPunct/>
              <w:topLinePunct w:val="0"/>
              <w:autoSpaceDE/>
              <w:autoSpaceDN/>
              <w:bidi w:val="0"/>
              <w:adjustRightInd/>
              <w:snapToGrid/>
              <w:spacing w:line="500" w:lineRule="exact"/>
              <w:ind w:firstLine="482"/>
              <w:jc w:val="left"/>
              <w:textAlignment w:val="auto"/>
              <w:rPr>
                <w:rFonts w:hint="eastAsia"/>
                <w:lang w:val="en-US" w:eastAsia="zh-CN"/>
              </w:rPr>
            </w:pPr>
            <w:r>
              <w:rPr>
                <w:rFonts w:hint="eastAsia"/>
                <w:lang w:val="en-US" w:eastAsia="zh-CN"/>
              </w:rPr>
              <w:t>当 Q≥1 时，将Q值划分为：（1）1≤Q＜10；（2）10≤Q＜100；（3）Q≥100。</w:t>
            </w:r>
          </w:p>
          <w:p>
            <w:pPr>
              <w:keepNext w:val="0"/>
              <w:keepLines w:val="0"/>
              <w:pageBreakBefore w:val="0"/>
              <w:widowControl w:val="0"/>
              <w:kinsoku/>
              <w:wordWrap/>
              <w:overflowPunct/>
              <w:topLinePunct w:val="0"/>
              <w:autoSpaceDE/>
              <w:autoSpaceDN/>
              <w:bidi w:val="0"/>
              <w:adjustRightInd/>
              <w:snapToGrid/>
              <w:spacing w:line="500" w:lineRule="exact"/>
              <w:ind w:firstLine="482"/>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bCs/>
                <w:sz w:val="21"/>
                <w:szCs w:val="21"/>
                <w:lang w:val="en-US" w:eastAsia="zh-CN"/>
              </w:rPr>
              <w:t>表</w:t>
            </w:r>
            <w:r>
              <w:rPr>
                <w:rFonts w:hint="eastAsia" w:ascii="Times New Roman" w:hAnsi="Times New Roman" w:eastAsia="宋体" w:cs="Times New Roman"/>
                <w:b/>
                <w:bCs/>
                <w:sz w:val="21"/>
                <w:szCs w:val="21"/>
                <w:lang w:val="en-US" w:eastAsia="zh-CN"/>
              </w:rPr>
              <w:t>4-2</w:t>
            </w:r>
            <w:r>
              <w:rPr>
                <w:rFonts w:hint="eastAsia" w:cs="Times New Roman"/>
                <w:b/>
                <w:bCs/>
                <w:sz w:val="21"/>
                <w:szCs w:val="21"/>
                <w:lang w:val="en-US" w:eastAsia="zh-CN"/>
              </w:rPr>
              <w:t>3</w:t>
            </w:r>
            <w:r>
              <w:rPr>
                <w:rFonts w:hint="default" w:ascii="Times New Roman" w:hAnsi="Times New Roman" w:eastAsia="宋体" w:cs="Times New Roman"/>
                <w:b/>
                <w:bCs/>
                <w:sz w:val="21"/>
                <w:szCs w:val="21"/>
                <w:lang w:val="en-US" w:eastAsia="zh-CN"/>
              </w:rPr>
              <w:t xml:space="preserve"> 项目Q值确定一览表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3"/>
              <w:gridCol w:w="1642"/>
              <w:gridCol w:w="1298"/>
              <w:gridCol w:w="1466"/>
              <w:gridCol w:w="1736"/>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4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名称</w:t>
                  </w:r>
                </w:p>
              </w:tc>
              <w:tc>
                <w:tcPr>
                  <w:tcW w:w="164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危险物质名称</w:t>
                  </w:r>
                </w:p>
              </w:tc>
              <w:tc>
                <w:tcPr>
                  <w:tcW w:w="129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CAS号</w:t>
                  </w:r>
                </w:p>
              </w:tc>
              <w:tc>
                <w:tcPr>
                  <w:tcW w:w="146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最大存在量 qn（t）</w:t>
                  </w:r>
                </w:p>
              </w:tc>
              <w:tc>
                <w:tcPr>
                  <w:tcW w:w="1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临界量 Qn （t）</w:t>
                  </w:r>
                </w:p>
              </w:tc>
              <w:tc>
                <w:tcPr>
                  <w:tcW w:w="118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qn /Qn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4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污水处理站</w:t>
                  </w:r>
                </w:p>
              </w:tc>
              <w:tc>
                <w:tcPr>
                  <w:tcW w:w="164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次氯酸钠</w:t>
                  </w:r>
                </w:p>
              </w:tc>
              <w:tc>
                <w:tcPr>
                  <w:tcW w:w="129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7681-52-9</w:t>
                  </w:r>
                </w:p>
              </w:tc>
              <w:tc>
                <w:tcPr>
                  <w:tcW w:w="146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w:t>
                  </w:r>
                </w:p>
              </w:tc>
              <w:tc>
                <w:tcPr>
                  <w:tcW w:w="17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118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0.04</w:t>
                  </w:r>
                </w:p>
              </w:tc>
            </w:tr>
          </w:tbl>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lang w:val="en-US" w:eastAsia="zh-CN"/>
              </w:rPr>
              <w:t>根据导则，Q＜1 时，该项目环境风险潜势为Ⅰ。评价工作等级为简单分析。</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（三）环境风险分析</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本项目为污水处理工程，在运营过程中可能造成环境污染的情况有以下几种：</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（1）污水管道堵塞、破裂和接头处破损，造成大量污水外溢；</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（2）污水站由于停电、设备损坏、污水处理设施运行不正常等造成排水不畅时引起污水漫溢；</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（3）活性污泥变质、发生污泥膨胀或污泥解体等异常情况，使污泥流失，处理效果降低。</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（4）加药间发生药剂泄露；</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（四）环境风险防范措施及应急要求</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（1）严格执行安监、消防、等相关规范，从总图布置和建筑安全方面进行风险防范，预留疏散通道或安置场所；</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（2）从优化改进生产工艺、减少储存量、改善储存条件等方面降低风险程度；</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（3）加强日常管理，降低管理失误而出现的风险事故，提高员工规范性操作水平，减少误操作引发的风险事故；</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（4）根据化学品安全技术说明书及相关贮存的相关要求进行贮存、使用。对化学品储存区设置满足要求的围堰区；</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（5）按《危险废物贮存污染控制标准》（GB18597-2001）及其修改单“原环境保护部公告2013年第36号”的相关要求做好原料仓、一般固废贮存场所的防渗措施，加强管理，避免装卸或存储过程中危险物质发生泄漏；</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w:t>
            </w:r>
            <w:r>
              <w:rPr>
                <w:rFonts w:hint="default" w:ascii="Times New Roman" w:hAnsi="Times New Roman" w:eastAsia="宋体" w:cs="Times New Roman"/>
                <w:lang w:val="en-US" w:eastAsia="zh-CN"/>
              </w:rPr>
              <w:t>6</w:t>
            </w:r>
            <w:r>
              <w:rPr>
                <w:rFonts w:hint="default" w:ascii="Times New Roman" w:hAnsi="Times New Roman" w:eastAsia="宋体" w:cs="Times New Roman"/>
              </w:rPr>
              <w:t>）制定环境风险应急预案，定期举行演习，对全厂员工进行经常性的化学品抢救常识教育。</w:t>
            </w:r>
          </w:p>
          <w:p>
            <w:pPr>
              <w:keepNext w:val="0"/>
              <w:keepLines w:val="0"/>
              <w:pageBreakBefore w:val="0"/>
              <w:widowControl w:val="0"/>
              <w:kinsoku/>
              <w:wordWrap/>
              <w:overflowPunct/>
              <w:topLinePunct w:val="0"/>
              <w:autoSpaceDE w:val="0"/>
              <w:autoSpaceDN w:val="0"/>
              <w:bidi w:val="0"/>
              <w:adjustRightInd/>
              <w:snapToGrid/>
              <w:spacing w:line="500" w:lineRule="exact"/>
              <w:ind w:firstLine="482" w:firstLineChars="200"/>
              <w:jc w:val="left"/>
              <w:textAlignment w:val="auto"/>
              <w:rPr>
                <w:rFonts w:hint="default" w:ascii="Times New Roman" w:hAnsi="Times New Roman" w:eastAsia="宋体" w:cs="Times New Roman"/>
                <w:b/>
                <w:bCs/>
              </w:rPr>
            </w:pPr>
            <w:r>
              <w:rPr>
                <w:rFonts w:hint="eastAsia" w:cs="Times New Roman"/>
                <w:b/>
                <w:bCs/>
                <w:lang w:val="en-US" w:eastAsia="zh-CN"/>
              </w:rPr>
              <w:t>8、</w:t>
            </w:r>
            <w:r>
              <w:rPr>
                <w:rFonts w:hint="default" w:ascii="Times New Roman" w:hAnsi="Times New Roman" w:eastAsia="宋体" w:cs="Times New Roman"/>
                <w:b/>
                <w:bCs/>
              </w:rPr>
              <w:t>生态环境</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pPr>
            <w:r>
              <w:rPr>
                <w:rFonts w:hint="default" w:ascii="Times New Roman" w:hAnsi="Times New Roman" w:eastAsia="宋体" w:cs="Times New Roman"/>
              </w:rPr>
              <w:t>项目</w:t>
            </w:r>
            <w:r>
              <w:rPr>
                <w:rFonts w:hint="default" w:ascii="Times New Roman" w:hAnsi="Times New Roman" w:eastAsia="宋体" w:cs="Times New Roman"/>
                <w:lang w:eastAsia="zh-CN"/>
              </w:rPr>
              <w:t>污水处理站全地下设施</w:t>
            </w:r>
            <w:r>
              <w:rPr>
                <w:rFonts w:hint="default" w:ascii="Times New Roman" w:hAnsi="Times New Roman" w:eastAsia="宋体" w:cs="Times New Roman"/>
              </w:rPr>
              <w:t>，不涉及新增用地。项目营运中产生的污染物通过采取以上环境保护治理措施并且加强日常的管理和监督，同时搞好</w:t>
            </w:r>
            <w:r>
              <w:rPr>
                <w:rFonts w:hint="default" w:ascii="Times New Roman" w:hAnsi="Times New Roman" w:eastAsia="宋体" w:cs="Times New Roman"/>
                <w:lang w:eastAsia="zh-CN"/>
              </w:rPr>
              <w:t>污水处理站周边进行</w:t>
            </w:r>
            <w:r>
              <w:rPr>
                <w:rFonts w:hint="default" w:ascii="Times New Roman" w:hAnsi="Times New Roman" w:eastAsia="宋体" w:cs="Times New Roman"/>
              </w:rPr>
              <w:t>绿化后均可达标排放。因此，项目营运期间不会对周边的生态环境造成明显的不利影响。</w:t>
            </w:r>
          </w:p>
        </w:tc>
      </w:tr>
    </w:tbl>
    <w:p>
      <w:pPr>
        <w:spacing w:after="0"/>
        <w:rPr>
          <w:sz w:val="21"/>
        </w:rPr>
        <w:sectPr>
          <w:pgSz w:w="11910" w:h="16850"/>
          <w:pgMar w:top="1600" w:right="1320" w:bottom="1000" w:left="1340" w:header="0" w:footer="817" w:gutter="0"/>
          <w:cols w:space="720" w:num="1"/>
        </w:sectPr>
      </w:pPr>
    </w:p>
    <w:p>
      <w:pPr>
        <w:pStyle w:val="3"/>
        <w:bidi w:val="0"/>
        <w:rPr>
          <w:sz w:val="21"/>
        </w:rPr>
      </w:pPr>
      <w:r>
        <w:rPr>
          <w:rFonts w:hint="eastAsia" w:ascii="宋体" w:hAnsi="宋体" w:eastAsia="宋体" w:cs="宋体"/>
          <w:b/>
          <w:bCs/>
        </w:rPr>
        <w:t>五、环境保护措施监督检查清单</w:t>
      </w:r>
    </w:p>
    <w:tbl>
      <w:tblPr>
        <w:tblStyle w:val="15"/>
        <w:tblpPr w:leftFromText="180" w:rightFromText="180" w:vertAnchor="text" w:horzAnchor="page" w:tblpX="1388" w:tblpY="298"/>
        <w:tblOverlap w:val="never"/>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78"/>
        <w:gridCol w:w="1755"/>
        <w:gridCol w:w="1755"/>
        <w:gridCol w:w="2"/>
        <w:gridCol w:w="1753"/>
        <w:gridCol w:w="1"/>
        <w:gridCol w:w="17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1778" w:type="dxa"/>
            <w:tcBorders>
              <w:bottom w:val="single" w:color="000000" w:sz="4" w:space="0"/>
              <w:right w:val="single" w:color="000000" w:sz="4" w:space="0"/>
            </w:tcBorders>
            <w:vAlign w:val="center"/>
            <mc:AlternateContent>
              <mc:Choice Requires="wpsCustomData">
                <wpsCustomData:diagonals>
                  <wpsCustomData:diagonal from="10000" to="30000">
                    <wpsCustomData:border w:val="single" w:color="000000" w:sz="8" w:space="0"/>
                  </wpsCustomData:diagonal>
                </wpsCustomData:diagonals>
              </mc:Choice>
            </mc:AlternateContent>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240" w:lineRule="auto"/>
              <w:textAlignment w:val="auto"/>
              <mc:AlternateContent>
                <mc:Choice Requires="wpsCustomData">
                  <wpsCustomData:diagonalParaType/>
                </mc:Choice>
              </mc:AlternateContent>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要素</w:t>
            </w:r>
          </w:p>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内容</w:t>
            </w:r>
          </w:p>
        </w:tc>
        <w:tc>
          <w:tcPr>
            <w:tcW w:w="1755"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排放口(编号、名称)/污染源</w:t>
            </w:r>
          </w:p>
        </w:tc>
        <w:tc>
          <w:tcPr>
            <w:tcW w:w="1757" w:type="dxa"/>
            <w:gridSpan w:val="2"/>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污染物项目</w:t>
            </w:r>
          </w:p>
        </w:tc>
        <w:tc>
          <w:tcPr>
            <w:tcW w:w="1754" w:type="dxa"/>
            <w:gridSpan w:val="2"/>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环境保护措施</w:t>
            </w:r>
          </w:p>
        </w:tc>
        <w:tc>
          <w:tcPr>
            <w:tcW w:w="1757"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执行标准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6" w:hRule="atLeast"/>
        </w:trPr>
        <w:tc>
          <w:tcPr>
            <w:tcW w:w="1778" w:type="dxa"/>
            <w:tcBorders>
              <w:top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大气环境</w:t>
            </w:r>
          </w:p>
        </w:tc>
        <w:tc>
          <w:tcPr>
            <w:tcW w:w="17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w:t>
            </w:r>
          </w:p>
        </w:tc>
        <w:tc>
          <w:tcPr>
            <w:tcW w:w="1757" w:type="dxa"/>
            <w:gridSpan w:val="2"/>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氨、硫化氢、臭气浓度</w:t>
            </w:r>
          </w:p>
        </w:tc>
        <w:tc>
          <w:tcPr>
            <w:tcW w:w="1754" w:type="dxa"/>
            <w:gridSpan w:val="2"/>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设备或池体加盖，</w:t>
            </w:r>
            <w:r>
              <w:rPr>
                <w:rFonts w:hint="default" w:ascii="Times New Roman" w:hAnsi="Times New Roman" w:eastAsia="宋体" w:cs="Times New Roman"/>
                <w:sz w:val="21"/>
                <w:szCs w:val="21"/>
                <w:lang w:eastAsia="zh-CN"/>
              </w:rPr>
              <w:t>设备</w:t>
            </w:r>
            <w:r>
              <w:rPr>
                <w:rFonts w:hint="default" w:ascii="Times New Roman" w:hAnsi="Times New Roman" w:eastAsia="宋体" w:cs="Times New Roman"/>
                <w:sz w:val="21"/>
                <w:szCs w:val="21"/>
              </w:rPr>
              <w:t>设置于地下，地埋式作业，定期投加除臭剂，</w:t>
            </w:r>
          </w:p>
        </w:tc>
        <w:tc>
          <w:tcPr>
            <w:tcW w:w="1757"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《城镇污水处理站污染物排放标准》（GB18918-2002）及其修改单表4二级标准要求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50" w:hRule="atLeast"/>
        </w:trPr>
        <w:tc>
          <w:tcPr>
            <w:tcW w:w="1778" w:type="dxa"/>
            <w:tcBorders>
              <w:top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地表水环境</w:t>
            </w:r>
          </w:p>
        </w:tc>
        <w:tc>
          <w:tcPr>
            <w:tcW w:w="1755"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eastAsia="zh-CN"/>
              </w:rPr>
              <w:t>村民</w:t>
            </w:r>
            <w:r>
              <w:rPr>
                <w:rFonts w:hint="default" w:ascii="Times New Roman" w:hAnsi="Times New Roman" w:eastAsia="宋体" w:cs="Times New Roman"/>
                <w:sz w:val="21"/>
                <w:szCs w:val="21"/>
                <w:lang w:val="en-US" w:eastAsia="zh-CN"/>
              </w:rPr>
              <w:t>生活废水</w:t>
            </w:r>
          </w:p>
        </w:tc>
        <w:tc>
          <w:tcPr>
            <w:tcW w:w="1755"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pH、</w:t>
            </w:r>
            <w:r>
              <w:rPr>
                <w:rFonts w:hint="default" w:ascii="Times New Roman" w:hAnsi="Times New Roman" w:eastAsia="宋体" w:cs="Times New Roman"/>
                <w:sz w:val="21"/>
                <w:szCs w:val="21"/>
              </w:rPr>
              <w:t>COD、BOD</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、SS、NH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-N</w:t>
            </w:r>
            <w:r>
              <w:rPr>
                <w:rFonts w:hint="default" w:ascii="Times New Roman" w:hAnsi="Times New Roman" w:eastAsia="宋体" w:cs="Times New Roman"/>
                <w:sz w:val="21"/>
                <w:szCs w:val="21"/>
                <w:lang w:eastAsia="zh-CN"/>
              </w:rPr>
              <w:t>、总磷</w:t>
            </w:r>
          </w:p>
        </w:tc>
        <w:tc>
          <w:tcPr>
            <w:tcW w:w="1755" w:type="dxa"/>
            <w:gridSpan w:val="2"/>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rPr>
              <w:t>经污水管网排入化粪池</w:t>
            </w:r>
            <w:r>
              <w:rPr>
                <w:rFonts w:hint="default" w:ascii="Times New Roman" w:hAnsi="Times New Roman" w:eastAsia="宋体" w:cs="Times New Roman"/>
                <w:sz w:val="21"/>
                <w:szCs w:val="21"/>
                <w:lang w:eastAsia="zh-CN"/>
              </w:rPr>
              <w:t>后进入</w:t>
            </w:r>
            <w:r>
              <w:rPr>
                <w:rFonts w:hint="default" w:ascii="Times New Roman" w:hAnsi="Times New Roman" w:eastAsia="宋体" w:cs="Times New Roman"/>
                <w:sz w:val="21"/>
                <w:szCs w:val="21"/>
              </w:rPr>
              <w:t>村污水处理站，经过处理达标后</w:t>
            </w:r>
            <w:r>
              <w:rPr>
                <w:rFonts w:hint="default" w:ascii="Times New Roman" w:hAnsi="Times New Roman" w:eastAsia="宋体" w:cs="Times New Roman"/>
                <w:sz w:val="21"/>
                <w:szCs w:val="21"/>
                <w:lang w:eastAsia="zh-CN"/>
              </w:rPr>
              <w:t>用于</w:t>
            </w:r>
            <w:r>
              <w:rPr>
                <w:rFonts w:hint="default" w:ascii="Times New Roman" w:hAnsi="Times New Roman" w:eastAsia="宋体" w:cs="Times New Roman"/>
                <w:sz w:val="21"/>
                <w:szCs w:val="21"/>
              </w:rPr>
              <w:t>农田灌溉、</w:t>
            </w:r>
            <w:r>
              <w:rPr>
                <w:rFonts w:hint="default" w:ascii="Times New Roman" w:hAnsi="Times New Roman" w:eastAsia="宋体" w:cs="Times New Roman"/>
                <w:sz w:val="21"/>
                <w:szCs w:val="21"/>
                <w:lang w:val="en-US" w:eastAsia="zh-CN"/>
              </w:rPr>
              <w:t>冬季用于农田冬灌</w:t>
            </w:r>
            <w:r>
              <w:rPr>
                <w:rFonts w:hint="default" w:ascii="Times New Roman" w:hAnsi="Times New Roman" w:eastAsia="宋体" w:cs="Times New Roman"/>
                <w:sz w:val="21"/>
                <w:szCs w:val="21"/>
              </w:rPr>
              <w:t>。</w:t>
            </w:r>
          </w:p>
        </w:tc>
        <w:tc>
          <w:tcPr>
            <w:tcW w:w="1758" w:type="dxa"/>
            <w:gridSpan w:val="2"/>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rPr>
              <w:t>《农村生活污水排放标准》（</w:t>
            </w:r>
            <w:r>
              <w:rPr>
                <w:rFonts w:hint="default" w:ascii="Times New Roman" w:hAnsi="Times New Roman" w:eastAsia="宋体" w:cs="Times New Roman"/>
                <w:sz w:val="21"/>
                <w:szCs w:val="21"/>
                <w:lang w:eastAsia="zh-CN"/>
              </w:rPr>
              <w:t>DB13</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2171</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20</w:t>
            </w:r>
            <w:r>
              <w:rPr>
                <w:rFonts w:hint="default" w:ascii="Times New Roman" w:hAnsi="Times New Roman" w:eastAsia="宋体" w:cs="Times New Roman"/>
                <w:sz w:val="21"/>
                <w:szCs w:val="21"/>
                <w:lang w:val="en-US" w:eastAsia="zh-CN"/>
              </w:rPr>
              <w:t>20</w:t>
            </w:r>
            <w:r>
              <w:rPr>
                <w:rFonts w:hint="default" w:ascii="Times New Roman" w:hAnsi="Times New Roman" w:eastAsia="宋体" w:cs="Times New Roman"/>
                <w:sz w:val="21"/>
                <w:szCs w:val="21"/>
              </w:rPr>
              <w:t>）一级</w:t>
            </w:r>
            <w:r>
              <w:rPr>
                <w:rFonts w:hint="default" w:ascii="Times New Roman" w:hAnsi="Times New Roman" w:eastAsia="宋体" w:cs="Times New Roman"/>
                <w:sz w:val="21"/>
                <w:szCs w:val="21"/>
                <w:lang w:eastAsia="zh-CN"/>
              </w:rPr>
              <w:t>A</w:t>
            </w:r>
            <w:r>
              <w:rPr>
                <w:rFonts w:hint="default" w:ascii="Times New Roman" w:hAnsi="Times New Roman" w:eastAsia="宋体" w:cs="Times New Roman"/>
                <w:sz w:val="21"/>
                <w:szCs w:val="21"/>
              </w:rPr>
              <w:t>标准</w:t>
            </w:r>
            <w:r>
              <w:rPr>
                <w:rFonts w:hint="default" w:ascii="Times New Roman" w:hAnsi="Times New Roman" w:eastAsia="宋体" w:cs="Times New Roman"/>
                <w:sz w:val="21"/>
                <w:szCs w:val="21"/>
                <w:lang w:val="en-US" w:eastAsia="zh-CN"/>
              </w:rPr>
              <w:t>及《农田灌溉水质标准》（GB5084-2021）表1中蔬菜限值。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90" w:hRule="atLeast"/>
        </w:trPr>
        <w:tc>
          <w:tcPr>
            <w:tcW w:w="1778" w:type="dxa"/>
            <w:tcBorders>
              <w:top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声环境</w:t>
            </w:r>
          </w:p>
        </w:tc>
        <w:tc>
          <w:tcPr>
            <w:tcW w:w="17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东、西、南、北厂界外1m处各设1个点位</w:t>
            </w:r>
          </w:p>
        </w:tc>
        <w:tc>
          <w:tcPr>
            <w:tcW w:w="175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LeqdB（A）</w:t>
            </w:r>
          </w:p>
        </w:tc>
        <w:tc>
          <w:tcPr>
            <w:tcW w:w="175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污水处理站各池体属于地埋式，产生噪声的设备均埋在地下，通过选用低噪声设备，设备基础减振，合理安排各设备的位置、污水处理站厂区四周进行绿化隔离等措施</w:t>
            </w:r>
          </w:p>
        </w:tc>
        <w:tc>
          <w:tcPr>
            <w:tcW w:w="1757"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东、南、北侧</w:t>
            </w:r>
            <w:r>
              <w:rPr>
                <w:rFonts w:hint="default" w:ascii="Times New Roman" w:hAnsi="Times New Roman" w:eastAsia="宋体" w:cs="Times New Roman"/>
                <w:sz w:val="21"/>
                <w:szCs w:val="21"/>
              </w:rPr>
              <w:t>厂界外噪声贡献值</w:t>
            </w:r>
            <w:r>
              <w:rPr>
                <w:rFonts w:hint="default" w:ascii="Times New Roman" w:hAnsi="Times New Roman" w:eastAsia="宋体" w:cs="Times New Roman"/>
                <w:sz w:val="21"/>
                <w:szCs w:val="21"/>
                <w:lang w:eastAsia="zh-CN"/>
              </w:rPr>
              <w:t>均</w:t>
            </w:r>
            <w:r>
              <w:rPr>
                <w:rFonts w:hint="default" w:ascii="Times New Roman" w:hAnsi="Times New Roman" w:eastAsia="宋体" w:cs="Times New Roman"/>
                <w:sz w:val="21"/>
                <w:szCs w:val="21"/>
              </w:rPr>
              <w:t>满足《工业企业厂界环境噪声排放标准》（GB12348-2008）</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类标准</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lang w:eastAsia="zh-CN"/>
              </w:rPr>
              <w:t>西侧</w:t>
            </w:r>
            <w:r>
              <w:rPr>
                <w:rFonts w:hint="default" w:ascii="Times New Roman" w:hAnsi="Times New Roman" w:eastAsia="宋体" w:cs="Times New Roman"/>
                <w:sz w:val="21"/>
                <w:szCs w:val="21"/>
              </w:rPr>
              <w:t>厂界外噪声贡献值</w:t>
            </w:r>
            <w:r>
              <w:rPr>
                <w:rFonts w:hint="default" w:ascii="Times New Roman" w:hAnsi="Times New Roman" w:eastAsia="宋体" w:cs="Times New Roman"/>
                <w:sz w:val="21"/>
                <w:szCs w:val="21"/>
                <w:lang w:eastAsia="zh-CN"/>
              </w:rPr>
              <w:t>均</w:t>
            </w:r>
            <w:r>
              <w:rPr>
                <w:rFonts w:hint="default" w:ascii="Times New Roman" w:hAnsi="Times New Roman" w:eastAsia="宋体" w:cs="Times New Roman"/>
                <w:sz w:val="21"/>
                <w:szCs w:val="21"/>
              </w:rPr>
              <w:t>满足《工业企业厂界环境噪声排放标准》（GB12348-2008）</w:t>
            </w: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类标准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310" w:hRule="atLeast"/>
        </w:trPr>
        <w:tc>
          <w:tcPr>
            <w:tcW w:w="1778" w:type="dxa"/>
            <w:tcBorders>
              <w:top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电磁辐射</w:t>
            </w:r>
          </w:p>
        </w:tc>
        <w:tc>
          <w:tcPr>
            <w:tcW w:w="7023" w:type="dxa"/>
            <w:gridSpan w:val="6"/>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8" w:hRule="atLeast"/>
        </w:trPr>
        <w:tc>
          <w:tcPr>
            <w:tcW w:w="1778" w:type="dxa"/>
            <w:vMerge w:val="restart"/>
            <w:tcBorders>
              <w:top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固体废物</w:t>
            </w:r>
          </w:p>
        </w:tc>
        <w:tc>
          <w:tcPr>
            <w:tcW w:w="1755"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格栅渣</w:t>
            </w:r>
          </w:p>
        </w:tc>
        <w:tc>
          <w:tcPr>
            <w:tcW w:w="1755"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格栅渣</w:t>
            </w:r>
          </w:p>
        </w:tc>
        <w:tc>
          <w:tcPr>
            <w:tcW w:w="1755" w:type="dxa"/>
            <w:gridSpan w:val="2"/>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定期收集，集中送区域环卫部门指定垃圾收集点</w:t>
            </w:r>
          </w:p>
        </w:tc>
        <w:tc>
          <w:tcPr>
            <w:tcW w:w="1758" w:type="dxa"/>
            <w:gridSpan w:val="2"/>
            <w:vMerge w:val="restart"/>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《一般工业固体废物贮存、处置场污染控制标准》（GB18599-2001）及其修改单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16" w:hRule="atLeast"/>
        </w:trPr>
        <w:tc>
          <w:tcPr>
            <w:tcW w:w="1778" w:type="dxa"/>
            <w:vMerge w:val="continue"/>
            <w:tcBorders>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b/>
                <w:bCs/>
                <w:sz w:val="21"/>
                <w:szCs w:val="21"/>
              </w:rPr>
            </w:pPr>
          </w:p>
        </w:tc>
        <w:tc>
          <w:tcPr>
            <w:tcW w:w="1755"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污水处理站产生污泥</w:t>
            </w:r>
          </w:p>
        </w:tc>
        <w:tc>
          <w:tcPr>
            <w:tcW w:w="1755"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污泥</w:t>
            </w:r>
          </w:p>
        </w:tc>
        <w:tc>
          <w:tcPr>
            <w:tcW w:w="1755" w:type="dxa"/>
            <w:gridSpan w:val="2"/>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定期由吸粪车抽吸外运，外运至指定地点处理</w:t>
            </w:r>
          </w:p>
        </w:tc>
        <w:tc>
          <w:tcPr>
            <w:tcW w:w="1758" w:type="dxa"/>
            <w:gridSpan w:val="2"/>
            <w:vMerge w:val="continue"/>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026" w:hRule="atLeast"/>
        </w:trPr>
        <w:tc>
          <w:tcPr>
            <w:tcW w:w="1778" w:type="dxa"/>
            <w:tcBorders>
              <w:top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地下水污染防治措施</w:t>
            </w:r>
          </w:p>
        </w:tc>
        <w:tc>
          <w:tcPr>
            <w:tcW w:w="7023" w:type="dxa"/>
            <w:gridSpan w:val="6"/>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spacing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重点污染防治区：指位于地下的生产功能单元，污染地下水环境的物料泄漏后，不容易被及时发现和处理的区域。主要包括项目地下部分构筑物。</w:t>
            </w:r>
          </w:p>
          <w:p>
            <w:pPr>
              <w:keepNext w:val="0"/>
              <w:keepLines w:val="0"/>
              <w:pageBreakBefore w:val="0"/>
              <w:widowControl w:val="0"/>
              <w:kinsoku/>
              <w:wordWrap/>
              <w:overflowPunct/>
              <w:topLinePunct w:val="0"/>
              <w:autoSpaceDE w:val="0"/>
              <w:autoSpaceDN w:val="0"/>
              <w:bidi w:val="0"/>
              <w:spacing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对于重点污染防治区，参照《危险废物安全填埋处置工程建设技术要求》(环发[2004]75号，2004年4月30日实施)、《危险废物填埋污染控制标准》(GB18598-2001)进行防渗设计。</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重点污染区防渗要求为：操作条件下的单位面积渗透量不大于厚度为6m，饱和渗透系数≤10</w:t>
            </w:r>
            <w:r>
              <w:rPr>
                <w:rFonts w:hint="default" w:ascii="Times New Roman" w:hAnsi="Times New Roman" w:eastAsia="宋体" w:cs="Times New Roman"/>
                <w:sz w:val="21"/>
                <w:szCs w:val="21"/>
                <w:vertAlign w:val="superscript"/>
                <w:lang w:val="en-US" w:eastAsia="zh-CN"/>
              </w:rPr>
              <w:t>-7</w:t>
            </w:r>
            <w:r>
              <w:rPr>
                <w:rFonts w:hint="default" w:ascii="Times New Roman" w:hAnsi="Times New Roman" w:eastAsia="宋体" w:cs="Times New Roman"/>
                <w:sz w:val="21"/>
                <w:szCs w:val="21"/>
                <w:lang w:val="en-US" w:eastAsia="zh-CN"/>
              </w:rPr>
              <w:t>cm/s防渗层的渗透量，防渗能力按《危险废物填埋场污染控制标准MGB18598-2001) 第6.5.1-6.5.3条执行。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6" w:hRule="atLeast"/>
        </w:trPr>
        <w:tc>
          <w:tcPr>
            <w:tcW w:w="1778" w:type="dxa"/>
            <w:tcBorders>
              <w:top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土壤污染防治措施</w:t>
            </w:r>
          </w:p>
        </w:tc>
        <w:tc>
          <w:tcPr>
            <w:tcW w:w="7023" w:type="dxa"/>
            <w:gridSpan w:val="6"/>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源头控制：按照相关规范要求，把控进入项目污水处理站的污水类别，严格检查，禁止工业废水、不符合规定要求的医疗废水等污水进入本污水处理站；定期监测：应制定监测计划，定期跟踪厂区内填埋区以及厂区外附近农田土壤环境质量，建立跟踪监测制度，以便及时发现问题，采取有效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6" w:hRule="atLeast"/>
        </w:trPr>
        <w:tc>
          <w:tcPr>
            <w:tcW w:w="1778" w:type="dxa"/>
            <w:tcBorders>
              <w:top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生态保护措施</w:t>
            </w:r>
          </w:p>
        </w:tc>
        <w:tc>
          <w:tcPr>
            <w:tcW w:w="7023" w:type="dxa"/>
            <w:gridSpan w:val="6"/>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r>
              <w:rPr>
                <w:rFonts w:hint="default" w:ascii="Times New Roman" w:hAnsi="Times New Roman" w:eastAsia="宋体" w:cs="Times New Roman"/>
                <w:sz w:val="21"/>
                <w:szCs w:val="21"/>
                <w:lang w:eastAsia="zh-CN"/>
              </w:rPr>
              <w:t>污水处理站全地下设施</w:t>
            </w:r>
            <w:r>
              <w:rPr>
                <w:rFonts w:hint="default" w:ascii="Times New Roman" w:hAnsi="Times New Roman" w:eastAsia="宋体" w:cs="Times New Roman"/>
                <w:sz w:val="21"/>
                <w:szCs w:val="21"/>
              </w:rPr>
              <w:t>，不涉及新增用地。项目营运中产生的污染物通过采取以上环境保护治理措施并且加强日常的管理和监督，同时搞好</w:t>
            </w:r>
            <w:r>
              <w:rPr>
                <w:rFonts w:hint="default" w:ascii="Times New Roman" w:hAnsi="Times New Roman" w:eastAsia="宋体" w:cs="Times New Roman"/>
                <w:sz w:val="21"/>
                <w:szCs w:val="21"/>
                <w:lang w:eastAsia="zh-CN"/>
              </w:rPr>
              <w:t>污水处理站周边进行</w:t>
            </w:r>
            <w:r>
              <w:rPr>
                <w:rFonts w:hint="default" w:ascii="Times New Roman" w:hAnsi="Times New Roman" w:eastAsia="宋体" w:cs="Times New Roman"/>
                <w:sz w:val="21"/>
                <w:szCs w:val="21"/>
              </w:rPr>
              <w:t>绿化后均可达标排放。因此，项目营运期间不会对周边的生态环境造成明显的不利影响。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277" w:hRule="atLeast"/>
        </w:trPr>
        <w:tc>
          <w:tcPr>
            <w:tcW w:w="1778" w:type="dxa"/>
            <w:tcBorders>
              <w:top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环境风险防范措施</w:t>
            </w:r>
          </w:p>
        </w:tc>
        <w:tc>
          <w:tcPr>
            <w:tcW w:w="7023" w:type="dxa"/>
            <w:gridSpan w:val="6"/>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Chars="0"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（1）严格执行安监、消防、等相关规范，从总图布置和建筑安全方面进行风险防范，预留疏散通道或安置场所；</w:t>
            </w:r>
          </w:p>
          <w:p>
            <w:pPr>
              <w:keepNext w:val="0"/>
              <w:keepLines w:val="0"/>
              <w:pageBreakBefore w:val="0"/>
              <w:widowControl w:val="0"/>
              <w:kinsoku/>
              <w:wordWrap/>
              <w:overflowPunct/>
              <w:topLinePunct w:val="0"/>
              <w:autoSpaceDE w:val="0"/>
              <w:autoSpaceDN w:val="0"/>
              <w:bidi w:val="0"/>
              <w:adjustRightInd/>
              <w:snapToGrid/>
              <w:spacing w:line="240" w:lineRule="auto"/>
              <w:ind w:leftChars="0"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（2）从优化改进生产工艺、减少储存量、改善储存条件等方面降低风险程度；</w:t>
            </w:r>
          </w:p>
          <w:p>
            <w:pPr>
              <w:keepNext w:val="0"/>
              <w:keepLines w:val="0"/>
              <w:pageBreakBefore w:val="0"/>
              <w:widowControl w:val="0"/>
              <w:kinsoku/>
              <w:wordWrap/>
              <w:overflowPunct/>
              <w:topLinePunct w:val="0"/>
              <w:autoSpaceDE w:val="0"/>
              <w:autoSpaceDN w:val="0"/>
              <w:bidi w:val="0"/>
              <w:adjustRightInd/>
              <w:snapToGrid/>
              <w:spacing w:line="240" w:lineRule="auto"/>
              <w:ind w:leftChars="0"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（3）加强日常管理，降低管理失误而出现的风险事故，提高员工规范性操作水平，减少误操作引发的风险事故；</w:t>
            </w:r>
          </w:p>
          <w:p>
            <w:pPr>
              <w:keepNext w:val="0"/>
              <w:keepLines w:val="0"/>
              <w:pageBreakBefore w:val="0"/>
              <w:widowControl w:val="0"/>
              <w:kinsoku/>
              <w:wordWrap/>
              <w:overflowPunct/>
              <w:topLinePunct w:val="0"/>
              <w:autoSpaceDE w:val="0"/>
              <w:autoSpaceDN w:val="0"/>
              <w:bidi w:val="0"/>
              <w:adjustRightInd/>
              <w:snapToGrid/>
              <w:spacing w:line="240" w:lineRule="auto"/>
              <w:ind w:leftChars="0"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（4）根据化学品安全技术说明书及相关贮存的相关要求进行贮存、使用。对化学品储存区设置满足要求的围堰区；</w:t>
            </w:r>
          </w:p>
          <w:p>
            <w:pPr>
              <w:keepNext w:val="0"/>
              <w:keepLines w:val="0"/>
              <w:pageBreakBefore w:val="0"/>
              <w:widowControl w:val="0"/>
              <w:kinsoku/>
              <w:wordWrap/>
              <w:overflowPunct/>
              <w:topLinePunct w:val="0"/>
              <w:autoSpaceDE w:val="0"/>
              <w:autoSpaceDN w:val="0"/>
              <w:bidi w:val="0"/>
              <w:adjustRightInd/>
              <w:snapToGrid/>
              <w:spacing w:line="240" w:lineRule="auto"/>
              <w:ind w:leftChars="0"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（5）按《危险废物贮存污染控制标准》（GB18597-2001）及其修改单“原环境保护部公告2013年第36号”的相关要求做好原料仓、一般固废贮存场所的防渗措施，加强管理，避免装卸或存储过程中危险物质发生泄漏；</w:t>
            </w:r>
          </w:p>
          <w:p>
            <w:pPr>
              <w:keepNext w:val="0"/>
              <w:keepLines w:val="0"/>
              <w:pageBreakBefore w:val="0"/>
              <w:widowControl w:val="0"/>
              <w:kinsoku/>
              <w:wordWrap/>
              <w:overflowPunct/>
              <w:topLinePunct w:val="0"/>
              <w:autoSpaceDE w:val="0"/>
              <w:autoSpaceDN w:val="0"/>
              <w:bidi w:val="0"/>
              <w:adjustRightInd/>
              <w:snapToGrid/>
              <w:spacing w:line="240" w:lineRule="auto"/>
              <w:ind w:leftChars="0"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rPr>
              <w:t>）制定环境风险应急预案，定期举行演习，对全厂员工进行经常性的化学品抢救常识教育。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2" w:hRule="atLeast"/>
        </w:trPr>
        <w:tc>
          <w:tcPr>
            <w:tcW w:w="1778" w:type="dxa"/>
            <w:tcBorders>
              <w:top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其他环境管理要求</w:t>
            </w:r>
          </w:p>
        </w:tc>
        <w:tc>
          <w:tcPr>
            <w:tcW w:w="7023" w:type="dxa"/>
            <w:gridSpan w:val="6"/>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1、排污口规范化</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（1）废水</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废水排放口规范化设置要有明显标识，环境保护图形标志应设在排放口附近醒目处，便于采样及日常现场监督检查等。</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（3）固体废物</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本项目应当设置专用的贮存设施或堆放场地分类存放固体废物，并在固体废物暂存场所醒目处至少设置1个标志牌。</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（4）建立排放口规范化档案。</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（5）设专职或兼职的技术人员对排放口进行管理。</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2、环境保护竣工验收</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三同时”是我国环境管理中的一项重要制度，《中华人民共和国环境保护法》把这一原则规定为法律制度。因此，建设单位必须予以高度重视，建设项目中的防治污染的设施必须与主体工程同时设计、同时施工、同时投产。根据《关于发布&lt;建设项目竣工环境保护验收暂行办法&gt;的公告》（国环规环评[2017]4 号），建设项目竣工后，建设单位应根据环评文件及审批意见，进行自主验收，向社会公开并向环保部门备案。</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根据《建设项目竣工环境保护验收暂行办法》第二章，第十二条：除需要取得排污许可证的水和大气污染防治设施外，其他环境保护设施的验收期限一般不超过3个月；需要对该类环境保护设施进行调试或者整改的，验收期限可以适当延期，但最长不超过12个月。验收期限是指自建设项目环境保护设施竣工之日起至建设单位向社会公开验收报告之日止的时间。</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3、严格落实排污许可制度</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（1）落实按证排污责任</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依据国务院办公厅关于印发《控制污染物排放许可制实施方案的通知》（国办发[2016]81号）、《排污许可管理办法（试行）》（部令第48号）、《关于做好环境影响评价制度与排污许可制衔接相关工作的通知》（环办环评[2017]84号）中相关要求，建设单位必须按期持证排污、按证排污，不得无证排污，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应当取得排污许可证而未取得的，不得排放污染物。明确单位负责人和相关人员环境保护责任，不断提高污染治理和环境管理水平，自觉接受监督检查。</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（2）实行自行监测和定期报告制度</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依法开展自行监测，安装或使用监测设备应符合国家有关环境监测、计量认证规定和技术规范，保障数据合法有效，保证设备正常运行，妥善保存原始记录，建立准确完整的环境管理台账。如实向环境保护部门报告排污许可证执行情况，依法向社会公开污染物排放数据并对数据真实性负责。排放情况与排污许可证要求不符的，应及时向环境保护部门报告。</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（3）排污许可证管理规范化</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安排污许可证规定，定期在国家排污许可证管理信息平台填报信息，编制排污许可证执行报告，及时报送有核发权的环境保护主管部门并公开，执行报告主要内容包括生产信息、污染防治设施运行情况、污染物按证排放情况等。</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（4）排污许可衔接</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根据《关于做好环境影响评价制度与排污许可制衔接相关工作的通知》（环办环评[2017]84号）及《固定污染源排污许可分类管理名录（2019年版）》（生态环境部令第11号），本项目属于</w:t>
            </w:r>
            <w:r>
              <w:rPr>
                <w:rFonts w:hint="eastAsia" w:cs="Times New Roman"/>
                <w:sz w:val="21"/>
                <w:szCs w:val="21"/>
                <w:lang w:val="en-US" w:eastAsia="zh-CN"/>
              </w:rPr>
              <w:t>四十一</w:t>
            </w:r>
            <w:r>
              <w:rPr>
                <w:rFonts w:hint="default" w:ascii="Times New Roman" w:hAnsi="Times New Roman" w:eastAsia="宋体" w:cs="Times New Roman"/>
                <w:sz w:val="21"/>
                <w:szCs w:val="21"/>
                <w:lang w:val="en-US" w:eastAsia="zh-CN"/>
              </w:rPr>
              <w:t>、</w:t>
            </w:r>
            <w:r>
              <w:rPr>
                <w:rFonts w:hint="eastAsia" w:cs="Times New Roman"/>
                <w:sz w:val="21"/>
                <w:szCs w:val="21"/>
                <w:lang w:val="en-US" w:eastAsia="zh-CN"/>
              </w:rPr>
              <w:t>水的生产和供应业46</w:t>
            </w:r>
            <w:r>
              <w:rPr>
                <w:rFonts w:hint="default" w:ascii="Times New Roman" w:hAnsi="Times New Roman" w:eastAsia="宋体" w:cs="Times New Roman"/>
                <w:sz w:val="21"/>
                <w:szCs w:val="21"/>
                <w:lang w:val="en-US" w:eastAsia="zh-CN"/>
              </w:rPr>
              <w:t>中</w:t>
            </w:r>
            <w:r>
              <w:rPr>
                <w:rFonts w:hint="eastAsia" w:cs="Times New Roman"/>
                <w:sz w:val="21"/>
                <w:szCs w:val="21"/>
                <w:lang w:val="en-US" w:eastAsia="zh-CN"/>
              </w:rPr>
              <w:t>污水处理及其再生利用462-日处理能力500吨以下的城乡污水集中处理场所</w:t>
            </w:r>
            <w:r>
              <w:rPr>
                <w:rFonts w:hint="default" w:ascii="Times New Roman" w:hAnsi="Times New Roman" w:eastAsia="宋体" w:cs="Times New Roman"/>
                <w:sz w:val="21"/>
                <w:szCs w:val="21"/>
                <w:lang w:val="en-US" w:eastAsia="zh-CN"/>
              </w:rPr>
              <w:t>，属于登记管理范畴。实行登记管理的排污单位，不需要申请取得排污许可证，应当在全国排污许可证管理信息平台填报排污登记表，登记基本信息、污染物排放去向、执行的污染物排放标准以及采取的污染防治措施等信息。企业应在实际生产开始前登录全国排污许可证管理信息平台进行登记。</w:t>
            </w:r>
          </w:p>
        </w:tc>
      </w:tr>
    </w:tbl>
    <w:p>
      <w:pPr>
        <w:pStyle w:val="9"/>
        <w:spacing w:before="8"/>
        <w:jc w:val="both"/>
        <w:rPr>
          <w:sz w:val="25"/>
        </w:rPr>
      </w:pPr>
    </w:p>
    <w:p>
      <w:pPr>
        <w:spacing w:after="0"/>
        <w:rPr>
          <w:sz w:val="21"/>
        </w:rPr>
        <w:sectPr>
          <w:pgSz w:w="11910" w:h="16840"/>
          <w:pgMar w:top="1417" w:right="1247" w:bottom="1417" w:left="1247" w:header="0" w:footer="817" w:gutter="0"/>
          <w:cols w:space="720" w:num="1"/>
        </w:sectPr>
      </w:pPr>
    </w:p>
    <w:p>
      <w:pPr>
        <w:pStyle w:val="3"/>
        <w:keepNext w:val="0"/>
        <w:keepLines w:val="0"/>
        <w:pageBreakBefore w:val="0"/>
        <w:widowControl w:val="0"/>
        <w:kinsoku/>
        <w:wordWrap/>
        <w:overflowPunct/>
        <w:topLinePunct w:val="0"/>
        <w:autoSpaceDE w:val="0"/>
        <w:autoSpaceDN w:val="0"/>
        <w:bidi w:val="0"/>
        <w:adjustRightInd/>
        <w:snapToGrid/>
        <w:spacing w:after="0" w:afterLines="0"/>
        <w:textAlignment w:val="auto"/>
        <w:rPr>
          <w:rFonts w:hint="eastAsia"/>
        </w:rPr>
      </w:pPr>
      <w:r>
        <w:rPr>
          <w:rFonts w:hint="eastAsia"/>
        </w:rPr>
        <w:t>六、结论</w:t>
      </w:r>
    </w:p>
    <w:p>
      <w:pPr>
        <w:pStyle w:val="9"/>
        <w:spacing w:before="10"/>
        <w:jc w:val="both"/>
        <w:rPr>
          <w:sz w:val="18"/>
        </w:rPr>
      </w:pPr>
      <w:r>
        <mc:AlternateContent>
          <mc:Choice Requires="wps">
            <w:drawing>
              <wp:anchor distT="0" distB="0" distL="114300" distR="114300" simplePos="0" relativeHeight="251661312" behindDoc="1" locked="0" layoutInCell="1" allowOverlap="1">
                <wp:simplePos x="0" y="0"/>
                <wp:positionH relativeFrom="page">
                  <wp:posOffset>964565</wp:posOffset>
                </wp:positionH>
                <wp:positionV relativeFrom="paragraph">
                  <wp:posOffset>184150</wp:posOffset>
                </wp:positionV>
                <wp:extent cx="5631180" cy="7628890"/>
                <wp:effectExtent l="6350" t="6350" r="20320" b="22860"/>
                <wp:wrapTopAndBottom/>
                <wp:docPr id="7" name="文本框 7"/>
                <wp:cNvGraphicFramePr/>
                <a:graphic xmlns:a="http://schemas.openxmlformats.org/drawingml/2006/main">
                  <a:graphicData uri="http://schemas.microsoft.com/office/word/2010/wordprocessingShape">
                    <wps:wsp>
                      <wps:cNvSpPr txBox="1"/>
                      <wps:spPr>
                        <a:xfrm>
                          <a:off x="0" y="0"/>
                          <a:ext cx="5631180" cy="7628890"/>
                        </a:xfrm>
                        <a:prstGeom prst="rect">
                          <a:avLst/>
                        </a:prstGeom>
                        <a:noFill/>
                        <a:ln w="12191"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rPr>
                            </w:pPr>
                            <w:r>
                              <w:rPr>
                                <w:rFonts w:hint="eastAsia"/>
                              </w:rPr>
                              <w:t>本项目建设符合国家和</w:t>
                            </w:r>
                            <w:r>
                              <w:rPr>
                                <w:rFonts w:hint="eastAsia"/>
                                <w:lang w:eastAsia="zh-CN"/>
                              </w:rPr>
                              <w:t>兴隆县</w:t>
                            </w:r>
                            <w:r>
                              <w:rPr>
                                <w:rFonts w:hint="eastAsia"/>
                              </w:rPr>
                              <w:t>的产业政策要求。选址可行，布局合理，采取的各项环保治理措施技术可行、设施可靠，可使各污染物实现最大程度削减，实现达标排放，对环境的影响可满足相应功能区的要求。</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rPr>
                              <w:t>因此，综上所述，建设单位在认真落实环评中提出的各项污染治理措施和建议的基础上，从环保角度，评价认为工程的建设是可行的。</w:t>
                            </w:r>
                          </w:p>
                          <w:p>
                            <w:pPr>
                              <w:pStyle w:val="9"/>
                              <w:rPr>
                                <w:sz w:val="24"/>
                              </w:rPr>
                            </w:pPr>
                          </w:p>
                          <w:p>
                            <w:pPr>
                              <w:pStyle w:val="9"/>
                              <w:rPr>
                                <w:sz w:val="24"/>
                              </w:rPr>
                            </w:pPr>
                          </w:p>
                          <w:p>
                            <w:pPr>
                              <w:pStyle w:val="9"/>
                              <w:rPr>
                                <w:sz w:val="24"/>
                              </w:rPr>
                            </w:pPr>
                          </w:p>
                          <w:p>
                            <w:pPr>
                              <w:pStyle w:val="9"/>
                              <w:rPr>
                                <w:sz w:val="24"/>
                              </w:rPr>
                            </w:pPr>
                          </w:p>
                          <w:p>
                            <w:pPr>
                              <w:pStyle w:val="9"/>
                              <w:rPr>
                                <w:sz w:val="24"/>
                              </w:rPr>
                            </w:pPr>
                          </w:p>
                          <w:p>
                            <w:pPr>
                              <w:pStyle w:val="9"/>
                              <w:rPr>
                                <w:sz w:val="24"/>
                              </w:rPr>
                            </w:pPr>
                          </w:p>
                          <w:p>
                            <w:pPr>
                              <w:pStyle w:val="9"/>
                              <w:rPr>
                                <w:sz w:val="24"/>
                              </w:rPr>
                            </w:pPr>
                          </w:p>
                          <w:p>
                            <w:pPr>
                              <w:pStyle w:val="9"/>
                              <w:rPr>
                                <w:sz w:val="24"/>
                              </w:rPr>
                            </w:pPr>
                          </w:p>
                          <w:p>
                            <w:pPr>
                              <w:pStyle w:val="9"/>
                              <w:rPr>
                                <w:sz w:val="24"/>
                              </w:rPr>
                            </w:pPr>
                          </w:p>
                          <w:p>
                            <w:pPr>
                              <w:pStyle w:val="9"/>
                              <w:rPr>
                                <w:sz w:val="24"/>
                              </w:rPr>
                            </w:pPr>
                          </w:p>
                          <w:p>
                            <w:pPr>
                              <w:pStyle w:val="9"/>
                              <w:rPr>
                                <w:sz w:val="24"/>
                              </w:rPr>
                            </w:pPr>
                          </w:p>
                          <w:p>
                            <w:pPr>
                              <w:pStyle w:val="9"/>
                              <w:rPr>
                                <w:sz w:val="24"/>
                              </w:rPr>
                            </w:pPr>
                          </w:p>
                          <w:p>
                            <w:pPr>
                              <w:pStyle w:val="9"/>
                              <w:spacing w:before="12"/>
                              <w:rPr>
                                <w:sz w:val="17"/>
                              </w:rPr>
                            </w:pPr>
                          </w:p>
                          <w:p>
                            <w:pPr>
                              <w:spacing w:before="0"/>
                              <w:ind w:left="98" w:right="0" w:firstLine="0"/>
                              <w:jc w:val="left"/>
                              <w:rPr>
                                <w:sz w:val="24"/>
                              </w:rPr>
                            </w:pPr>
                            <w:r>
                              <w:rPr>
                                <w:sz w:val="24"/>
                              </w:rPr>
                              <w:t xml:space="preserve"> </w:t>
                            </w:r>
                          </w:p>
                        </w:txbxContent>
                      </wps:txbx>
                      <wps:bodyPr lIns="0" tIns="0" rIns="0" bIns="0" upright="1"/>
                    </wps:wsp>
                  </a:graphicData>
                </a:graphic>
              </wp:anchor>
            </w:drawing>
          </mc:Choice>
          <mc:Fallback>
            <w:pict>
              <v:shape id="_x0000_s1026" o:spid="_x0000_s1026" o:spt="202" type="#_x0000_t202" style="position:absolute;left:0pt;margin-left:75.95pt;margin-top:14.5pt;height:600.7pt;width:443.4pt;mso-position-horizontal-relative:page;mso-wrap-distance-bottom:0pt;mso-wrap-distance-top:0pt;z-index:-251655168;mso-width-relative:page;mso-height-relative:page;" filled="f" stroked="t" coordsize="21600,21600" o:gfxdata="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Cc3+NgAAAAMAQAADwAA&#10;AAAAAAABACAAAAAiAAAAZHJzL2Rvd25yZXYueG1sUEsBAhQAFAAAAAgAh07iQOCPfCEWAgAAMwQA&#10;AA4AAAAAAAAAAQAgAAAAJwEAAGRycy9lMm9Eb2MueG1sUEsFBgAAAAAGAAYAWQEAAK8FAAAAAA==&#10;">
                <v:fill on="f" focussize="0,0"/>
                <v:stroke weight="0.95992125984252pt" color="#000000"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rPr>
                      </w:pPr>
                      <w:r>
                        <w:rPr>
                          <w:rFonts w:hint="eastAsia"/>
                        </w:rPr>
                        <w:t>本项目建设符合国家和</w:t>
                      </w:r>
                      <w:r>
                        <w:rPr>
                          <w:rFonts w:hint="eastAsia"/>
                          <w:lang w:eastAsia="zh-CN"/>
                        </w:rPr>
                        <w:t>兴隆县</w:t>
                      </w:r>
                      <w:r>
                        <w:rPr>
                          <w:rFonts w:hint="eastAsia"/>
                        </w:rPr>
                        <w:t>的产业政策要求。选址可行，布局合理，采取的各项环保治理措施技术可行、设施可靠，可使各污染物实现最大程度削减，实现达标排放，对环境的影响可满足相应功能区的要求。</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rPr>
                        <w:t>因此，综上所述，建设单位在认真落实环评中提出的各项污染治理措施和建议的基础上，从环保角度，评价认为工程的建设是可行的。</w:t>
                      </w:r>
                    </w:p>
                    <w:p>
                      <w:pPr>
                        <w:pStyle w:val="9"/>
                        <w:rPr>
                          <w:sz w:val="24"/>
                        </w:rPr>
                      </w:pPr>
                    </w:p>
                    <w:p>
                      <w:pPr>
                        <w:pStyle w:val="9"/>
                        <w:rPr>
                          <w:sz w:val="24"/>
                        </w:rPr>
                      </w:pPr>
                    </w:p>
                    <w:p>
                      <w:pPr>
                        <w:pStyle w:val="9"/>
                        <w:rPr>
                          <w:sz w:val="24"/>
                        </w:rPr>
                      </w:pPr>
                    </w:p>
                    <w:p>
                      <w:pPr>
                        <w:pStyle w:val="9"/>
                        <w:rPr>
                          <w:sz w:val="24"/>
                        </w:rPr>
                      </w:pPr>
                    </w:p>
                    <w:p>
                      <w:pPr>
                        <w:pStyle w:val="9"/>
                        <w:rPr>
                          <w:sz w:val="24"/>
                        </w:rPr>
                      </w:pPr>
                    </w:p>
                    <w:p>
                      <w:pPr>
                        <w:pStyle w:val="9"/>
                        <w:rPr>
                          <w:sz w:val="24"/>
                        </w:rPr>
                      </w:pPr>
                    </w:p>
                    <w:p>
                      <w:pPr>
                        <w:pStyle w:val="9"/>
                        <w:rPr>
                          <w:sz w:val="24"/>
                        </w:rPr>
                      </w:pPr>
                    </w:p>
                    <w:p>
                      <w:pPr>
                        <w:pStyle w:val="9"/>
                        <w:rPr>
                          <w:sz w:val="24"/>
                        </w:rPr>
                      </w:pPr>
                    </w:p>
                    <w:p>
                      <w:pPr>
                        <w:pStyle w:val="9"/>
                        <w:rPr>
                          <w:sz w:val="24"/>
                        </w:rPr>
                      </w:pPr>
                    </w:p>
                    <w:p>
                      <w:pPr>
                        <w:pStyle w:val="9"/>
                        <w:rPr>
                          <w:sz w:val="24"/>
                        </w:rPr>
                      </w:pPr>
                    </w:p>
                    <w:p>
                      <w:pPr>
                        <w:pStyle w:val="9"/>
                        <w:rPr>
                          <w:sz w:val="24"/>
                        </w:rPr>
                      </w:pPr>
                    </w:p>
                    <w:p>
                      <w:pPr>
                        <w:pStyle w:val="9"/>
                        <w:rPr>
                          <w:sz w:val="24"/>
                        </w:rPr>
                      </w:pPr>
                    </w:p>
                    <w:p>
                      <w:pPr>
                        <w:pStyle w:val="9"/>
                        <w:spacing w:before="12"/>
                        <w:rPr>
                          <w:sz w:val="17"/>
                        </w:rPr>
                      </w:pPr>
                    </w:p>
                    <w:p>
                      <w:pPr>
                        <w:spacing w:before="0"/>
                        <w:ind w:left="98" w:right="0" w:firstLine="0"/>
                        <w:jc w:val="left"/>
                        <w:rPr>
                          <w:sz w:val="24"/>
                        </w:rPr>
                      </w:pPr>
                      <w:r>
                        <w:rPr>
                          <w:sz w:val="24"/>
                        </w:rPr>
                        <w:t xml:space="preserve"> </w:t>
                      </w:r>
                    </w:p>
                  </w:txbxContent>
                </v:textbox>
                <w10:wrap type="topAndBottom"/>
              </v:shape>
            </w:pict>
          </mc:Fallback>
        </mc:AlternateContent>
      </w:r>
    </w:p>
    <w:p>
      <w:pPr>
        <w:sectPr>
          <w:pgSz w:w="11906" w:h="16838"/>
          <w:pgMar w:top="1417" w:right="1247" w:bottom="1417" w:left="1247" w:header="851" w:footer="992" w:gutter="0"/>
          <w:cols w:space="425" w:num="1"/>
          <w:docGrid w:type="lines" w:linePitch="312" w:charSpace="0"/>
        </w:sectPr>
      </w:pPr>
    </w:p>
    <w:p>
      <w:pPr>
        <w:keepNext w:val="0"/>
        <w:keepLines w:val="0"/>
        <w:pageBreakBefore w:val="0"/>
        <w:widowControl w:val="0"/>
        <w:kinsoku/>
        <w:wordWrap/>
        <w:overflowPunct/>
        <w:topLinePunct w:val="0"/>
        <w:autoSpaceDE w:val="0"/>
        <w:autoSpaceDN w:val="0"/>
        <w:bidi w:val="0"/>
        <w:adjustRightInd/>
        <w:snapToGrid/>
        <w:spacing w:before="0"/>
        <w:ind w:left="0" w:right="0" w:firstLine="0"/>
        <w:jc w:val="left"/>
        <w:textAlignment w:val="auto"/>
        <w:rPr>
          <w:sz w:val="30"/>
          <w:szCs w:val="30"/>
        </w:rPr>
      </w:pPr>
      <w:r>
        <w:rPr>
          <w:rFonts w:hint="eastAsia" w:ascii="宋体" w:hAnsi="宋体" w:eastAsia="宋体" w:cs="宋体"/>
          <w:b/>
          <w:bCs/>
          <w:sz w:val="30"/>
          <w:szCs w:val="30"/>
        </w:rPr>
        <w:t>附表</w:t>
      </w:r>
    </w:p>
    <w:p>
      <w:pPr>
        <w:pStyle w:val="3"/>
        <w:bidi w:val="0"/>
        <w:rPr>
          <w:rFonts w:hint="eastAsia"/>
        </w:rPr>
      </w:pPr>
      <w:r>
        <w:rPr>
          <w:rFonts w:hint="eastAsia"/>
        </w:rPr>
        <w:t>建设项目污染物排放量汇总表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1575"/>
        <w:gridCol w:w="1575"/>
        <w:gridCol w:w="1575"/>
        <w:gridCol w:w="1575"/>
        <w:gridCol w:w="1575"/>
        <w:gridCol w:w="1575"/>
        <w:gridCol w:w="1801"/>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pPr>
              <w:bidi w:val="0"/>
              <w:jc w:val="center"/>
              <mc:AlternateContent>
                <mc:Choice Requires="wpsCustomData">
                  <wpsCustomData:diagonalParaType/>
                </mc:Choice>
              </mc:AlternateContent>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分类</w:t>
            </w:r>
          </w:p>
          <w:p>
            <w:pPr>
              <w:bidi w:val="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项目</w:t>
            </w:r>
          </w:p>
        </w:tc>
        <w:tc>
          <w:tcPr>
            <w:tcW w:w="1575" w:type="dxa"/>
            <w:vAlign w:val="center"/>
          </w:tcPr>
          <w:p>
            <w:pPr>
              <w:bidi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污染物名称</w:t>
            </w:r>
          </w:p>
        </w:tc>
        <w:tc>
          <w:tcPr>
            <w:tcW w:w="1575" w:type="dxa"/>
            <w:vAlign w:val="center"/>
          </w:tcPr>
          <w:p>
            <w:pPr>
              <w:bidi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现有工程排放量（固体废物产生量）①</w:t>
            </w:r>
          </w:p>
        </w:tc>
        <w:tc>
          <w:tcPr>
            <w:tcW w:w="1575" w:type="dxa"/>
            <w:vAlign w:val="center"/>
          </w:tcPr>
          <w:p>
            <w:pPr>
              <w:bidi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现有工程 许可排放量②</w:t>
            </w:r>
          </w:p>
        </w:tc>
        <w:tc>
          <w:tcPr>
            <w:tcW w:w="1575" w:type="dxa"/>
            <w:vAlign w:val="center"/>
          </w:tcPr>
          <w:p>
            <w:pPr>
              <w:bidi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在建工程排放量（固体废物产生量）③</w:t>
            </w:r>
          </w:p>
        </w:tc>
        <w:tc>
          <w:tcPr>
            <w:tcW w:w="1575" w:type="dxa"/>
            <w:vAlign w:val="center"/>
          </w:tcPr>
          <w:p>
            <w:pPr>
              <w:bidi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本项目排放量（固体废物产生量）④</w:t>
            </w:r>
          </w:p>
        </w:tc>
        <w:tc>
          <w:tcPr>
            <w:tcW w:w="1575" w:type="dxa"/>
            <w:vAlign w:val="center"/>
          </w:tcPr>
          <w:p>
            <w:pPr>
              <w:bidi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以新带老削减量（新建项目不填）⑤</w:t>
            </w:r>
          </w:p>
        </w:tc>
        <w:tc>
          <w:tcPr>
            <w:tcW w:w="1801" w:type="dxa"/>
            <w:vAlign w:val="center"/>
          </w:tcPr>
          <w:p>
            <w:pPr>
              <w:bidi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本项目建成后全厂排放量（固体废物产生量）⑥</w:t>
            </w:r>
          </w:p>
        </w:tc>
        <w:tc>
          <w:tcPr>
            <w:tcW w:w="1349" w:type="dxa"/>
            <w:vAlign w:val="center"/>
          </w:tcPr>
          <w:p>
            <w:pPr>
              <w:bidi w:val="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变化量⑦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Merge w:val="restart"/>
            <w:vAlign w:val="center"/>
          </w:tcPr>
          <w:p>
            <w:pPr>
              <w:pStyle w:val="26"/>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rPr>
            </w:pPr>
            <w:r>
              <w:rPr>
                <w:rFonts w:hint="default" w:ascii="Times New Roman" w:hAnsi="Times New Roman" w:eastAsia="宋体" w:cs="Times New Roman"/>
                <w:sz w:val="18"/>
                <w:szCs w:val="18"/>
              </w:rPr>
              <w:t>废气</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氨</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rPr>
            </w:pPr>
            <w:r>
              <w:rPr>
                <w:rFonts w:hint="default" w:ascii="Times New Roman" w:hAnsi="Times New Roman" w:eastAsia="宋体" w:cs="Times New Roman"/>
                <w:sz w:val="18"/>
                <w:szCs w:val="18"/>
                <w:vertAlign w:val="baseline"/>
                <w:lang w:val="en-US" w:eastAsia="zh-CN"/>
              </w:rPr>
              <w:t>/</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rPr>
            </w:pPr>
            <w:r>
              <w:rPr>
                <w:rFonts w:hint="default" w:ascii="Times New Roman" w:hAnsi="Times New Roman" w:eastAsia="宋体" w:cs="Times New Roman"/>
                <w:sz w:val="18"/>
                <w:szCs w:val="18"/>
                <w:vertAlign w:val="baseline"/>
                <w:lang w:val="en-US" w:eastAsia="zh-CN"/>
              </w:rPr>
              <w:t>/</w:t>
            </w:r>
          </w:p>
        </w:tc>
        <w:tc>
          <w:tcPr>
            <w:tcW w:w="157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lang w:val="en-US" w:eastAsia="zh-CN"/>
              </w:rPr>
              <w:t>0.74</w:t>
            </w:r>
            <w:r>
              <w:rPr>
                <w:rFonts w:hint="default" w:ascii="Times New Roman" w:hAnsi="Times New Roman" w:eastAsia="宋体" w:cs="Times New Roman"/>
                <w:sz w:val="18"/>
                <w:szCs w:val="18"/>
                <w:vertAlign w:val="baseline"/>
                <w:lang w:val="en-US" w:eastAsia="zh-CN"/>
              </w:rPr>
              <w:t>t/a</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rPr>
            </w:pPr>
            <w:r>
              <w:rPr>
                <w:rFonts w:hint="default" w:ascii="Times New Roman" w:hAnsi="Times New Roman" w:eastAsia="宋体" w:cs="Times New Roman"/>
                <w:sz w:val="18"/>
                <w:szCs w:val="18"/>
                <w:vertAlign w:val="baseline"/>
                <w:lang w:val="en-US" w:eastAsia="zh-CN"/>
              </w:rPr>
              <w:t>/</w:t>
            </w:r>
          </w:p>
        </w:tc>
        <w:tc>
          <w:tcPr>
            <w:tcW w:w="180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rPr>
            </w:pPr>
            <w:r>
              <w:rPr>
                <w:rFonts w:hint="default" w:ascii="Times New Roman" w:hAnsi="Times New Roman" w:eastAsia="宋体" w:cs="Times New Roman"/>
                <w:sz w:val="18"/>
                <w:szCs w:val="18"/>
                <w:lang w:val="en-US" w:eastAsia="zh-CN"/>
              </w:rPr>
              <w:t>0.74</w:t>
            </w:r>
            <w:r>
              <w:rPr>
                <w:rFonts w:hint="default" w:ascii="Times New Roman" w:hAnsi="Times New Roman" w:eastAsia="宋体" w:cs="Times New Roman"/>
                <w:sz w:val="18"/>
                <w:szCs w:val="18"/>
                <w:vertAlign w:val="baseline"/>
                <w:lang w:val="en-US" w:eastAsia="zh-CN"/>
              </w:rPr>
              <w:t>t/a</w:t>
            </w:r>
          </w:p>
        </w:tc>
        <w:tc>
          <w:tcPr>
            <w:tcW w:w="134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rPr>
            </w:pPr>
            <w:r>
              <w:rPr>
                <w:rFonts w:hint="default"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lang w:val="en-US" w:eastAsia="zh-CN"/>
              </w:rPr>
              <w:t>0.74</w:t>
            </w:r>
            <w:r>
              <w:rPr>
                <w:rFonts w:hint="default" w:ascii="Times New Roman" w:hAnsi="Times New Roman" w:eastAsia="宋体" w:cs="Times New Roman"/>
                <w:sz w:val="18"/>
                <w:szCs w:val="18"/>
                <w:vertAlign w:val="baseli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Merge w:val="continue"/>
            <w:vAlign w:val="center"/>
          </w:tcPr>
          <w:p>
            <w:pPr>
              <w:pStyle w:val="26"/>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rPr>
            </w:pP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硫化氢</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w:t>
            </w:r>
          </w:p>
        </w:tc>
        <w:tc>
          <w:tcPr>
            <w:tcW w:w="157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lang w:val="en-US" w:eastAsia="zh-CN"/>
              </w:rPr>
              <w:t>0.11</w:t>
            </w:r>
            <w:r>
              <w:rPr>
                <w:rFonts w:hint="default" w:ascii="Times New Roman" w:hAnsi="Times New Roman" w:eastAsia="宋体" w:cs="Times New Roman"/>
                <w:sz w:val="18"/>
                <w:szCs w:val="18"/>
                <w:vertAlign w:val="baseline"/>
                <w:lang w:val="en-US" w:eastAsia="zh-CN"/>
              </w:rPr>
              <w:t>t/a</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w:t>
            </w:r>
          </w:p>
        </w:tc>
        <w:tc>
          <w:tcPr>
            <w:tcW w:w="180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lang w:val="en-US" w:eastAsia="zh-CN"/>
              </w:rPr>
              <w:t>0.11</w:t>
            </w:r>
            <w:r>
              <w:rPr>
                <w:rFonts w:hint="default" w:ascii="Times New Roman" w:hAnsi="Times New Roman" w:eastAsia="宋体" w:cs="Times New Roman"/>
                <w:sz w:val="18"/>
                <w:szCs w:val="18"/>
                <w:vertAlign w:val="baseline"/>
                <w:lang w:val="en-US" w:eastAsia="zh-CN"/>
              </w:rPr>
              <w:t>t/a</w:t>
            </w:r>
          </w:p>
        </w:tc>
        <w:tc>
          <w:tcPr>
            <w:tcW w:w="134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lang w:val="en-US" w:eastAsia="zh-CN"/>
              </w:rPr>
              <w:t>0.11</w:t>
            </w:r>
            <w:r>
              <w:rPr>
                <w:rFonts w:hint="default" w:ascii="Times New Roman" w:hAnsi="Times New Roman" w:eastAsia="宋体" w:cs="Times New Roman"/>
                <w:sz w:val="18"/>
                <w:szCs w:val="18"/>
                <w:vertAlign w:val="baseli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Merge w:val="restart"/>
            <w:vAlign w:val="center"/>
          </w:tcPr>
          <w:p>
            <w:pPr>
              <w:pStyle w:val="26"/>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rPr>
            </w:pPr>
            <w:r>
              <w:rPr>
                <w:rFonts w:hint="default" w:ascii="Times New Roman" w:hAnsi="Times New Roman" w:eastAsia="宋体" w:cs="Times New Roman"/>
                <w:sz w:val="18"/>
                <w:szCs w:val="18"/>
              </w:rPr>
              <w:t>废水</w:t>
            </w:r>
          </w:p>
        </w:tc>
        <w:tc>
          <w:tcPr>
            <w:tcW w:w="1575" w:type="dxa"/>
            <w:vAlign w:val="center"/>
          </w:tcPr>
          <w:p>
            <w:pPr>
              <w:pStyle w:val="20"/>
              <w:keepNext w:val="0"/>
              <w:keepLines w:val="0"/>
              <w:pageBreakBefore w:val="0"/>
              <w:kinsoku/>
              <w:wordWrap/>
              <w:overflowPunct/>
              <w:topLinePunct w:val="0"/>
              <w:bidi w:val="0"/>
              <w:snapToGrid/>
              <w:spacing w:line="240" w:lineRule="auto"/>
              <w:ind w:left="0" w:leftChars="0" w:right="0" w:rightChars="0" w:firstLine="0" w:firstLineChars="0"/>
              <w:jc w:val="center"/>
              <w:rPr>
                <w:rFonts w:hint="default" w:ascii="Times New Roman" w:hAnsi="Times New Roman" w:eastAsia="宋体" w:cs="Times New Roman"/>
                <w:sz w:val="18"/>
                <w:szCs w:val="18"/>
                <w:vertAlign w:val="baseline"/>
              </w:rPr>
            </w:pPr>
            <w:r>
              <w:rPr>
                <w:rFonts w:hint="default" w:ascii="Times New Roman" w:hAnsi="Times New Roman" w:eastAsia="宋体" w:cs="Times New Roman"/>
                <w:sz w:val="18"/>
                <w:szCs w:val="18"/>
              </w:rPr>
              <w:t>COD</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rPr>
            </w:pPr>
            <w:r>
              <w:rPr>
                <w:rFonts w:hint="default" w:ascii="Times New Roman" w:hAnsi="Times New Roman" w:eastAsia="宋体" w:cs="Times New Roman"/>
                <w:sz w:val="18"/>
                <w:szCs w:val="18"/>
                <w:vertAlign w:val="baseline"/>
                <w:lang w:val="en-US" w:eastAsia="zh-CN"/>
              </w:rPr>
              <w:t>/</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rPr>
            </w:pPr>
            <w:r>
              <w:rPr>
                <w:rFonts w:hint="default" w:ascii="Times New Roman" w:hAnsi="Times New Roman" w:eastAsia="宋体" w:cs="Times New Roman"/>
                <w:sz w:val="18"/>
                <w:szCs w:val="18"/>
                <w:vertAlign w:val="baseline"/>
                <w:lang w:val="en-US" w:eastAsia="zh-CN"/>
              </w:rPr>
              <w:t>/</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rPr>
            </w:pPr>
            <w:r>
              <w:rPr>
                <w:rFonts w:hint="default" w:ascii="Times New Roman" w:hAnsi="Times New Roman" w:eastAsia="宋体" w:cs="Times New Roman"/>
                <w:sz w:val="18"/>
                <w:szCs w:val="18"/>
                <w:vertAlign w:val="baseline"/>
                <w:lang w:val="en-US" w:eastAsia="zh-CN"/>
              </w:rPr>
              <w:t>/</w:t>
            </w:r>
          </w:p>
        </w:tc>
        <w:tc>
          <w:tcPr>
            <w:tcW w:w="1575"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lang w:val="en-US" w:eastAsia="zh-CN"/>
              </w:rPr>
              <w:t>0.91</w:t>
            </w:r>
            <w:r>
              <w:rPr>
                <w:rFonts w:hint="default" w:ascii="Times New Roman" w:hAnsi="Times New Roman" w:eastAsia="宋体" w:cs="Times New Roman"/>
                <w:sz w:val="18"/>
                <w:szCs w:val="18"/>
                <w:vertAlign w:val="baseline"/>
                <w:lang w:val="en-US" w:eastAsia="zh-CN"/>
              </w:rPr>
              <w:t>t/a</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rPr>
            </w:pPr>
            <w:r>
              <w:rPr>
                <w:rFonts w:hint="default" w:ascii="Times New Roman" w:hAnsi="Times New Roman" w:eastAsia="宋体" w:cs="Times New Roman"/>
                <w:sz w:val="18"/>
                <w:szCs w:val="18"/>
                <w:vertAlign w:val="baseline"/>
                <w:lang w:val="en-US" w:eastAsia="zh-CN"/>
              </w:rPr>
              <w:t>/</w:t>
            </w:r>
          </w:p>
        </w:tc>
        <w:tc>
          <w:tcPr>
            <w:tcW w:w="180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lang w:val="en-US" w:eastAsia="zh-CN"/>
              </w:rPr>
              <w:t>0.91</w:t>
            </w:r>
            <w:r>
              <w:rPr>
                <w:rFonts w:hint="default" w:ascii="Times New Roman" w:hAnsi="Times New Roman" w:eastAsia="宋体" w:cs="Times New Roman"/>
                <w:sz w:val="18"/>
                <w:szCs w:val="18"/>
                <w:vertAlign w:val="baseline"/>
                <w:lang w:val="en-US" w:eastAsia="zh-CN"/>
              </w:rPr>
              <w:t>t/a</w:t>
            </w:r>
          </w:p>
        </w:tc>
        <w:tc>
          <w:tcPr>
            <w:tcW w:w="1349"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lang w:val="en-US" w:eastAsia="zh-CN"/>
              </w:rPr>
              <w:t>0.91</w:t>
            </w:r>
            <w:r>
              <w:rPr>
                <w:rFonts w:hint="default" w:ascii="Times New Roman" w:hAnsi="Times New Roman" w:eastAsia="宋体" w:cs="Times New Roman"/>
                <w:sz w:val="18"/>
                <w:szCs w:val="18"/>
                <w:vertAlign w:val="baseli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Merge w:val="continue"/>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sz w:val="18"/>
                <w:szCs w:val="18"/>
                <w:vertAlign w:val="baseline"/>
              </w:rPr>
            </w:pPr>
          </w:p>
        </w:tc>
        <w:tc>
          <w:tcPr>
            <w:tcW w:w="1575" w:type="dxa"/>
            <w:vAlign w:val="center"/>
          </w:tcPr>
          <w:p>
            <w:pPr>
              <w:pStyle w:val="20"/>
              <w:keepNext w:val="0"/>
              <w:keepLines w:val="0"/>
              <w:pageBreakBefore w:val="0"/>
              <w:kinsoku/>
              <w:wordWrap/>
              <w:overflowPunct/>
              <w:topLinePunct w:val="0"/>
              <w:bidi w:val="0"/>
              <w:snapToGrid/>
              <w:spacing w:line="240" w:lineRule="auto"/>
              <w:ind w:left="0" w:leftChars="0" w:right="0" w:rightChars="0" w:firstLine="0" w:firstLineChars="0"/>
              <w:jc w:val="center"/>
              <w:rPr>
                <w:rFonts w:hint="default" w:ascii="Times New Roman" w:hAnsi="Times New Roman" w:eastAsia="宋体" w:cs="Times New Roman"/>
                <w:sz w:val="18"/>
                <w:szCs w:val="18"/>
                <w:vertAlign w:val="baseline"/>
              </w:rPr>
            </w:pPr>
            <w:r>
              <w:rPr>
                <w:rFonts w:hint="default" w:ascii="Times New Roman" w:hAnsi="Times New Roman" w:eastAsia="宋体" w:cs="Times New Roman"/>
                <w:sz w:val="18"/>
                <w:szCs w:val="18"/>
              </w:rPr>
              <w:t>BOD</w:t>
            </w:r>
            <w:r>
              <w:rPr>
                <w:rFonts w:hint="default" w:ascii="Times New Roman" w:hAnsi="Times New Roman" w:eastAsia="宋体" w:cs="Times New Roman"/>
                <w:sz w:val="18"/>
                <w:szCs w:val="18"/>
                <w:vertAlign w:val="subscript"/>
              </w:rPr>
              <w:t>5</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rPr>
            </w:pPr>
            <w:r>
              <w:rPr>
                <w:rFonts w:hint="default" w:ascii="Times New Roman" w:hAnsi="Times New Roman" w:eastAsia="宋体" w:cs="Times New Roman"/>
                <w:sz w:val="18"/>
                <w:szCs w:val="18"/>
                <w:vertAlign w:val="baseline"/>
                <w:lang w:val="en-US" w:eastAsia="zh-CN"/>
              </w:rPr>
              <w:t>/</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rPr>
            </w:pPr>
            <w:r>
              <w:rPr>
                <w:rFonts w:hint="default" w:ascii="Times New Roman" w:hAnsi="Times New Roman" w:eastAsia="宋体" w:cs="Times New Roman"/>
                <w:sz w:val="18"/>
                <w:szCs w:val="18"/>
                <w:vertAlign w:val="baseline"/>
                <w:lang w:val="en-US" w:eastAsia="zh-CN"/>
              </w:rPr>
              <w:t>/</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rPr>
            </w:pPr>
            <w:r>
              <w:rPr>
                <w:rFonts w:hint="default" w:ascii="Times New Roman" w:hAnsi="Times New Roman" w:eastAsia="宋体" w:cs="Times New Roman"/>
                <w:sz w:val="18"/>
                <w:szCs w:val="18"/>
                <w:vertAlign w:val="baseline"/>
                <w:lang w:val="en-US" w:eastAsia="zh-CN"/>
              </w:rPr>
              <w:t>/</w:t>
            </w:r>
          </w:p>
        </w:tc>
        <w:tc>
          <w:tcPr>
            <w:tcW w:w="1575"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lang w:val="en-US" w:eastAsia="zh-CN"/>
              </w:rPr>
              <w:t>0.27</w:t>
            </w:r>
            <w:r>
              <w:rPr>
                <w:rFonts w:hint="default" w:ascii="Times New Roman" w:hAnsi="Times New Roman" w:eastAsia="宋体" w:cs="Times New Roman"/>
                <w:sz w:val="18"/>
                <w:szCs w:val="18"/>
                <w:vertAlign w:val="baseline"/>
                <w:lang w:val="en-US" w:eastAsia="zh-CN"/>
              </w:rPr>
              <w:t>t/a</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rPr>
            </w:pPr>
            <w:r>
              <w:rPr>
                <w:rFonts w:hint="default" w:ascii="Times New Roman" w:hAnsi="Times New Roman" w:eastAsia="宋体" w:cs="Times New Roman"/>
                <w:sz w:val="18"/>
                <w:szCs w:val="18"/>
                <w:vertAlign w:val="baseline"/>
                <w:lang w:val="en-US" w:eastAsia="zh-CN"/>
              </w:rPr>
              <w:t>/</w:t>
            </w:r>
          </w:p>
        </w:tc>
        <w:tc>
          <w:tcPr>
            <w:tcW w:w="180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lang w:val="en-US" w:eastAsia="zh-CN"/>
              </w:rPr>
              <w:t>0.27</w:t>
            </w:r>
            <w:r>
              <w:rPr>
                <w:rFonts w:hint="default" w:ascii="Times New Roman" w:hAnsi="Times New Roman" w:eastAsia="宋体" w:cs="Times New Roman"/>
                <w:sz w:val="18"/>
                <w:szCs w:val="18"/>
                <w:vertAlign w:val="baseline"/>
                <w:lang w:val="en-US" w:eastAsia="zh-CN"/>
              </w:rPr>
              <w:t>t/a</w:t>
            </w:r>
          </w:p>
        </w:tc>
        <w:tc>
          <w:tcPr>
            <w:tcW w:w="1349"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lang w:val="en-US" w:eastAsia="zh-CN"/>
              </w:rPr>
              <w:t>0.27</w:t>
            </w:r>
            <w:r>
              <w:rPr>
                <w:rFonts w:hint="default" w:ascii="Times New Roman" w:hAnsi="Times New Roman" w:eastAsia="宋体" w:cs="Times New Roman"/>
                <w:sz w:val="18"/>
                <w:szCs w:val="18"/>
                <w:vertAlign w:val="baseli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Merge w:val="continue"/>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sz w:val="18"/>
                <w:szCs w:val="18"/>
                <w:vertAlign w:val="baseline"/>
              </w:rPr>
            </w:pPr>
          </w:p>
        </w:tc>
        <w:tc>
          <w:tcPr>
            <w:tcW w:w="1575" w:type="dxa"/>
            <w:vAlign w:val="center"/>
          </w:tcPr>
          <w:p>
            <w:pPr>
              <w:pStyle w:val="20"/>
              <w:keepNext w:val="0"/>
              <w:keepLines w:val="0"/>
              <w:pageBreakBefore w:val="0"/>
              <w:kinsoku/>
              <w:wordWrap/>
              <w:overflowPunct/>
              <w:topLinePunct w:val="0"/>
              <w:bidi w:val="0"/>
              <w:snapToGrid/>
              <w:spacing w:line="240" w:lineRule="auto"/>
              <w:ind w:left="0" w:leftChars="0" w:right="0" w:righ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sz w:val="18"/>
                <w:szCs w:val="18"/>
              </w:rPr>
              <w:t>SS</w:t>
            </w:r>
            <w:r>
              <w:rPr>
                <w:rFonts w:hint="default" w:ascii="Times New Roman" w:hAnsi="Times New Roman" w:eastAsia="宋体" w:cs="Times New Roman"/>
                <w:sz w:val="18"/>
                <w:szCs w:val="18"/>
                <w:lang w:val="en-US" w:eastAsia="zh-CN"/>
              </w:rPr>
              <w:t>/浊度</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w:t>
            </w:r>
          </w:p>
        </w:tc>
        <w:tc>
          <w:tcPr>
            <w:tcW w:w="1575"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lang w:val="en-US" w:eastAsia="zh-CN"/>
              </w:rPr>
              <w:t>0.18</w:t>
            </w:r>
            <w:r>
              <w:rPr>
                <w:rFonts w:hint="default" w:ascii="Times New Roman" w:hAnsi="Times New Roman" w:eastAsia="宋体" w:cs="Times New Roman"/>
                <w:sz w:val="18"/>
                <w:szCs w:val="18"/>
                <w:vertAlign w:val="baseline"/>
                <w:lang w:val="en-US" w:eastAsia="zh-CN"/>
              </w:rPr>
              <w:t>t/a</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w:t>
            </w:r>
          </w:p>
        </w:tc>
        <w:tc>
          <w:tcPr>
            <w:tcW w:w="180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lang w:val="en-US" w:eastAsia="zh-CN"/>
              </w:rPr>
              <w:t>0.18</w:t>
            </w:r>
            <w:r>
              <w:rPr>
                <w:rFonts w:hint="default" w:ascii="Times New Roman" w:hAnsi="Times New Roman" w:eastAsia="宋体" w:cs="Times New Roman"/>
                <w:sz w:val="18"/>
                <w:szCs w:val="18"/>
                <w:vertAlign w:val="baseline"/>
                <w:lang w:val="en-US" w:eastAsia="zh-CN"/>
              </w:rPr>
              <w:t>t/a</w:t>
            </w:r>
          </w:p>
        </w:tc>
        <w:tc>
          <w:tcPr>
            <w:tcW w:w="1349"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lang w:val="en-US" w:eastAsia="zh-CN"/>
              </w:rPr>
              <w:t>0.18</w:t>
            </w:r>
            <w:r>
              <w:rPr>
                <w:rFonts w:hint="default" w:ascii="Times New Roman" w:hAnsi="Times New Roman" w:eastAsia="宋体" w:cs="Times New Roman"/>
                <w:sz w:val="18"/>
                <w:szCs w:val="18"/>
                <w:vertAlign w:val="baseli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Merge w:val="continue"/>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sz w:val="18"/>
                <w:szCs w:val="18"/>
                <w:vertAlign w:val="baseline"/>
              </w:rPr>
            </w:pPr>
          </w:p>
        </w:tc>
        <w:tc>
          <w:tcPr>
            <w:tcW w:w="1575" w:type="dxa"/>
            <w:vAlign w:val="center"/>
          </w:tcPr>
          <w:p>
            <w:pPr>
              <w:pStyle w:val="20"/>
              <w:keepNext w:val="0"/>
              <w:keepLines w:val="0"/>
              <w:pageBreakBefore w:val="0"/>
              <w:kinsoku/>
              <w:wordWrap/>
              <w:overflowPunct/>
              <w:topLinePunct w:val="0"/>
              <w:bidi w:val="0"/>
              <w:snapToGrid/>
              <w:spacing w:line="240" w:lineRule="auto"/>
              <w:ind w:left="0" w:leftChars="0" w:right="0" w:righ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sz w:val="18"/>
                <w:szCs w:val="18"/>
              </w:rPr>
              <w:t>NH</w:t>
            </w:r>
            <w:r>
              <w:rPr>
                <w:rFonts w:hint="default" w:ascii="Times New Roman" w:hAnsi="Times New Roman" w:eastAsia="宋体" w:cs="Times New Roman"/>
                <w:sz w:val="18"/>
                <w:szCs w:val="18"/>
                <w:vertAlign w:val="subscript"/>
              </w:rPr>
              <w:t>3</w:t>
            </w:r>
            <w:r>
              <w:rPr>
                <w:rFonts w:hint="default" w:ascii="Times New Roman" w:hAnsi="Times New Roman" w:eastAsia="宋体" w:cs="Times New Roman"/>
                <w:sz w:val="18"/>
                <w:szCs w:val="18"/>
              </w:rPr>
              <w:t>-N</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w:t>
            </w:r>
          </w:p>
        </w:tc>
        <w:tc>
          <w:tcPr>
            <w:tcW w:w="1575"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lang w:val="en-US" w:eastAsia="zh-CN"/>
              </w:rPr>
              <w:t>0.09</w:t>
            </w:r>
            <w:r>
              <w:rPr>
                <w:rFonts w:hint="default" w:ascii="Times New Roman" w:hAnsi="Times New Roman" w:eastAsia="宋体" w:cs="Times New Roman"/>
                <w:sz w:val="18"/>
                <w:szCs w:val="18"/>
                <w:vertAlign w:val="baseline"/>
                <w:lang w:val="en-US" w:eastAsia="zh-CN"/>
              </w:rPr>
              <w:t>t/a</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w:t>
            </w:r>
          </w:p>
        </w:tc>
        <w:tc>
          <w:tcPr>
            <w:tcW w:w="180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lang w:val="en-US" w:eastAsia="zh-CN"/>
              </w:rPr>
              <w:t>0.09</w:t>
            </w:r>
            <w:r>
              <w:rPr>
                <w:rFonts w:hint="default" w:ascii="Times New Roman" w:hAnsi="Times New Roman" w:eastAsia="宋体" w:cs="Times New Roman"/>
                <w:sz w:val="18"/>
                <w:szCs w:val="18"/>
                <w:vertAlign w:val="baseline"/>
                <w:lang w:val="en-US" w:eastAsia="zh-CN"/>
              </w:rPr>
              <w:t>t/a</w:t>
            </w:r>
          </w:p>
        </w:tc>
        <w:tc>
          <w:tcPr>
            <w:tcW w:w="1349"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lang w:val="en-US" w:eastAsia="zh-CN"/>
              </w:rPr>
              <w:t>0.09</w:t>
            </w:r>
            <w:r>
              <w:rPr>
                <w:rFonts w:hint="default" w:ascii="Times New Roman" w:hAnsi="Times New Roman" w:eastAsia="宋体" w:cs="Times New Roman"/>
                <w:sz w:val="18"/>
                <w:szCs w:val="18"/>
                <w:vertAlign w:val="baseli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Merge w:val="continue"/>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sz w:val="18"/>
                <w:szCs w:val="18"/>
                <w:vertAlign w:val="baseline"/>
              </w:rPr>
            </w:pPr>
          </w:p>
        </w:tc>
        <w:tc>
          <w:tcPr>
            <w:tcW w:w="1575" w:type="dxa"/>
            <w:vAlign w:val="center"/>
          </w:tcPr>
          <w:p>
            <w:pPr>
              <w:pStyle w:val="20"/>
              <w:keepNext w:val="0"/>
              <w:keepLines w:val="0"/>
              <w:pageBreakBefore w:val="0"/>
              <w:kinsoku/>
              <w:wordWrap/>
              <w:overflowPunct/>
              <w:topLinePunct w:val="0"/>
              <w:bidi w:val="0"/>
              <w:snapToGrid/>
              <w:spacing w:line="240" w:lineRule="auto"/>
              <w:ind w:left="0" w:leftChars="0" w:right="0" w:righ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sz w:val="18"/>
                <w:szCs w:val="18"/>
              </w:rPr>
              <w:t>TN</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w:t>
            </w:r>
          </w:p>
        </w:tc>
        <w:tc>
          <w:tcPr>
            <w:tcW w:w="1575"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lang w:val="en-US" w:eastAsia="zh-CN"/>
              </w:rPr>
              <w:t>0.27</w:t>
            </w:r>
            <w:r>
              <w:rPr>
                <w:rFonts w:hint="default" w:ascii="Times New Roman" w:hAnsi="Times New Roman" w:eastAsia="宋体" w:cs="Times New Roman"/>
                <w:sz w:val="18"/>
                <w:szCs w:val="18"/>
                <w:vertAlign w:val="baseline"/>
                <w:lang w:val="en-US" w:eastAsia="zh-CN"/>
              </w:rPr>
              <w:t>t/a</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w:t>
            </w:r>
          </w:p>
        </w:tc>
        <w:tc>
          <w:tcPr>
            <w:tcW w:w="180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lang w:val="en-US" w:eastAsia="zh-CN"/>
              </w:rPr>
              <w:t>0.27</w:t>
            </w:r>
            <w:r>
              <w:rPr>
                <w:rFonts w:hint="default" w:ascii="Times New Roman" w:hAnsi="Times New Roman" w:eastAsia="宋体" w:cs="Times New Roman"/>
                <w:sz w:val="18"/>
                <w:szCs w:val="18"/>
                <w:vertAlign w:val="baseline"/>
                <w:lang w:val="en-US" w:eastAsia="zh-CN"/>
              </w:rPr>
              <w:t>t/a</w:t>
            </w:r>
          </w:p>
        </w:tc>
        <w:tc>
          <w:tcPr>
            <w:tcW w:w="1349"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lang w:val="en-US" w:eastAsia="zh-CN"/>
              </w:rPr>
              <w:t>0.27</w:t>
            </w:r>
            <w:r>
              <w:rPr>
                <w:rFonts w:hint="default" w:ascii="Times New Roman" w:hAnsi="Times New Roman" w:eastAsia="宋体" w:cs="Times New Roman"/>
                <w:sz w:val="18"/>
                <w:szCs w:val="18"/>
                <w:vertAlign w:val="baseli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Merge w:val="continue"/>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sz w:val="18"/>
                <w:szCs w:val="18"/>
                <w:vertAlign w:val="baseline"/>
              </w:rPr>
            </w:pPr>
          </w:p>
        </w:tc>
        <w:tc>
          <w:tcPr>
            <w:tcW w:w="1575" w:type="dxa"/>
            <w:vAlign w:val="center"/>
          </w:tcPr>
          <w:p>
            <w:pPr>
              <w:pStyle w:val="20"/>
              <w:keepNext w:val="0"/>
              <w:keepLines w:val="0"/>
              <w:pageBreakBefore w:val="0"/>
              <w:kinsoku/>
              <w:wordWrap/>
              <w:overflowPunct/>
              <w:topLinePunct w:val="0"/>
              <w:bidi w:val="0"/>
              <w:snapToGrid/>
              <w:spacing w:line="240" w:lineRule="auto"/>
              <w:ind w:left="0" w:leftChars="0" w:right="0" w:righ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sz w:val="18"/>
                <w:szCs w:val="18"/>
              </w:rPr>
              <w:t>TP</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w:t>
            </w:r>
          </w:p>
        </w:tc>
        <w:tc>
          <w:tcPr>
            <w:tcW w:w="1575"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lang w:val="en-US" w:eastAsia="zh-CN"/>
              </w:rPr>
              <w:t>0.01</w:t>
            </w:r>
            <w:r>
              <w:rPr>
                <w:rFonts w:hint="default" w:ascii="Times New Roman" w:hAnsi="Times New Roman" w:eastAsia="宋体" w:cs="Times New Roman"/>
                <w:sz w:val="18"/>
                <w:szCs w:val="18"/>
                <w:vertAlign w:val="baseline"/>
                <w:lang w:val="en-US" w:eastAsia="zh-CN"/>
              </w:rPr>
              <w:t>t/a</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w:t>
            </w:r>
          </w:p>
        </w:tc>
        <w:tc>
          <w:tcPr>
            <w:tcW w:w="180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lang w:val="en-US" w:eastAsia="zh-CN"/>
              </w:rPr>
              <w:t>0.01</w:t>
            </w:r>
            <w:r>
              <w:rPr>
                <w:rFonts w:hint="default" w:ascii="Times New Roman" w:hAnsi="Times New Roman" w:eastAsia="宋体" w:cs="Times New Roman"/>
                <w:sz w:val="18"/>
                <w:szCs w:val="18"/>
                <w:vertAlign w:val="baseline"/>
                <w:lang w:val="en-US" w:eastAsia="zh-CN"/>
              </w:rPr>
              <w:t>t/a</w:t>
            </w:r>
          </w:p>
        </w:tc>
        <w:tc>
          <w:tcPr>
            <w:tcW w:w="1349"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lang w:val="en-US" w:eastAsia="zh-CN"/>
              </w:rPr>
              <w:t>0.01</w:t>
            </w:r>
            <w:r>
              <w:rPr>
                <w:rFonts w:hint="default" w:ascii="Times New Roman" w:hAnsi="Times New Roman" w:eastAsia="宋体" w:cs="Times New Roman"/>
                <w:sz w:val="18"/>
                <w:szCs w:val="18"/>
                <w:vertAlign w:val="baseli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Merge w:val="restart"/>
            <w:vAlign w:val="center"/>
          </w:tcPr>
          <w:p>
            <w:pPr>
              <w:pStyle w:val="26"/>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rPr>
            </w:pPr>
            <w:r>
              <w:rPr>
                <w:rFonts w:hint="default" w:ascii="Times New Roman" w:hAnsi="Times New Roman" w:eastAsia="宋体" w:cs="Times New Roman"/>
                <w:sz w:val="18"/>
                <w:szCs w:val="18"/>
              </w:rPr>
              <w:t>一般工业固体废物</w:t>
            </w:r>
          </w:p>
        </w:tc>
        <w:tc>
          <w:tcPr>
            <w:tcW w:w="1575" w:type="dxa"/>
            <w:vAlign w:val="center"/>
          </w:tcPr>
          <w:p>
            <w:pPr>
              <w:pStyle w:val="7"/>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rPr>
            </w:pPr>
            <w:r>
              <w:rPr>
                <w:rFonts w:hint="default" w:ascii="Times New Roman" w:hAnsi="Times New Roman" w:eastAsia="宋体" w:cs="Times New Roman"/>
                <w:sz w:val="18"/>
                <w:szCs w:val="18"/>
              </w:rPr>
              <w:t>格栅渣</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rPr>
            </w:pPr>
            <w:r>
              <w:rPr>
                <w:rFonts w:hint="default" w:ascii="Times New Roman" w:hAnsi="Times New Roman" w:eastAsia="宋体" w:cs="Times New Roman"/>
                <w:sz w:val="18"/>
                <w:szCs w:val="18"/>
                <w:vertAlign w:val="baseline"/>
                <w:lang w:val="en-US" w:eastAsia="zh-CN"/>
              </w:rPr>
              <w:t>/</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lang w:val="en-US"/>
              </w:rPr>
            </w:pPr>
            <w:r>
              <w:rPr>
                <w:rFonts w:hint="default" w:ascii="Times New Roman" w:hAnsi="Times New Roman" w:eastAsia="宋体" w:cs="Times New Roman"/>
                <w:sz w:val="18"/>
                <w:szCs w:val="18"/>
                <w:vertAlign w:val="baseline"/>
                <w:lang w:val="en-US" w:eastAsia="zh-CN"/>
              </w:rPr>
              <w:t>/</w:t>
            </w:r>
          </w:p>
        </w:tc>
        <w:tc>
          <w:tcPr>
            <w:tcW w:w="1575" w:type="dxa"/>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18"/>
                <w:szCs w:val="18"/>
                <w:vertAlign w:val="baseline"/>
                <w:lang w:val="en-US" w:eastAsia="zh-CN" w:bidi="zh-CN"/>
              </w:rPr>
            </w:pPr>
            <w:r>
              <w:rPr>
                <w:rFonts w:hint="default" w:ascii="Times New Roman" w:hAnsi="Times New Roman" w:eastAsia="宋体" w:cs="Times New Roman"/>
                <w:sz w:val="18"/>
                <w:szCs w:val="18"/>
                <w:lang w:val="en-US" w:eastAsia="zh-CN"/>
              </w:rPr>
              <w:t>0.73</w:t>
            </w:r>
            <w:r>
              <w:rPr>
                <w:rFonts w:hint="default" w:ascii="Times New Roman" w:hAnsi="Times New Roman" w:eastAsia="宋体" w:cs="Times New Roman"/>
                <w:sz w:val="18"/>
                <w:szCs w:val="18"/>
                <w:vertAlign w:val="baseline"/>
                <w:lang w:val="en-US" w:eastAsia="zh-CN"/>
              </w:rPr>
              <w:t>t/a</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0000FF"/>
                <w:sz w:val="18"/>
                <w:szCs w:val="18"/>
                <w:vertAlign w:val="baseline"/>
              </w:rPr>
            </w:pPr>
            <w:r>
              <w:rPr>
                <w:rFonts w:hint="default" w:ascii="Times New Roman" w:hAnsi="Times New Roman" w:eastAsia="宋体" w:cs="Times New Roman"/>
                <w:sz w:val="18"/>
                <w:szCs w:val="18"/>
                <w:vertAlign w:val="baseline"/>
                <w:lang w:val="en-US" w:eastAsia="zh-CN"/>
              </w:rPr>
              <w:t>/</w:t>
            </w:r>
          </w:p>
        </w:tc>
        <w:tc>
          <w:tcPr>
            <w:tcW w:w="1801" w:type="dxa"/>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color w:val="0000FF"/>
                <w:sz w:val="18"/>
                <w:szCs w:val="18"/>
                <w:vertAlign w:val="baseline"/>
              </w:rPr>
            </w:pPr>
            <w:r>
              <w:rPr>
                <w:rFonts w:hint="default" w:ascii="Times New Roman" w:hAnsi="Times New Roman" w:eastAsia="宋体" w:cs="Times New Roman"/>
                <w:sz w:val="18"/>
                <w:szCs w:val="18"/>
                <w:lang w:val="en-US" w:eastAsia="zh-CN"/>
              </w:rPr>
              <w:t>0.73</w:t>
            </w:r>
            <w:r>
              <w:rPr>
                <w:rFonts w:hint="default" w:ascii="Times New Roman" w:hAnsi="Times New Roman" w:eastAsia="宋体" w:cs="Times New Roman"/>
                <w:sz w:val="18"/>
                <w:szCs w:val="18"/>
                <w:vertAlign w:val="baseline"/>
                <w:lang w:val="en-US" w:eastAsia="zh-CN"/>
              </w:rPr>
              <w:t>t/a</w:t>
            </w:r>
          </w:p>
        </w:tc>
        <w:tc>
          <w:tcPr>
            <w:tcW w:w="1349" w:type="dxa"/>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sz w:val="18"/>
                <w:szCs w:val="18"/>
                <w:vertAlign w:val="baseline"/>
              </w:rPr>
            </w:pPr>
            <w:r>
              <w:rPr>
                <w:rFonts w:hint="default"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lang w:val="en-US" w:eastAsia="zh-CN"/>
              </w:rPr>
              <w:t>0.73</w:t>
            </w:r>
            <w:r>
              <w:rPr>
                <w:rFonts w:hint="default" w:ascii="Times New Roman" w:hAnsi="Times New Roman" w:eastAsia="宋体" w:cs="Times New Roman"/>
                <w:sz w:val="18"/>
                <w:szCs w:val="18"/>
                <w:vertAlign w:val="baseli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Merge w:val="continue"/>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sz w:val="18"/>
                <w:szCs w:val="18"/>
                <w:vertAlign w:val="baseline"/>
              </w:rPr>
            </w:pPr>
          </w:p>
        </w:tc>
        <w:tc>
          <w:tcPr>
            <w:tcW w:w="1575" w:type="dxa"/>
            <w:vAlign w:val="center"/>
          </w:tcPr>
          <w:p>
            <w:pPr>
              <w:pStyle w:val="7"/>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rPr>
            </w:pPr>
            <w:r>
              <w:rPr>
                <w:rFonts w:hint="default" w:ascii="Times New Roman" w:hAnsi="Times New Roman" w:eastAsia="宋体" w:cs="Times New Roman"/>
                <w:sz w:val="18"/>
                <w:szCs w:val="18"/>
              </w:rPr>
              <w:t>污水处理产生的污泥</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rPr>
            </w:pPr>
            <w:r>
              <w:rPr>
                <w:rFonts w:hint="default" w:ascii="Times New Roman" w:hAnsi="Times New Roman" w:eastAsia="宋体" w:cs="Times New Roman"/>
                <w:sz w:val="18"/>
                <w:szCs w:val="18"/>
                <w:vertAlign w:val="baseline"/>
                <w:lang w:val="en-US" w:eastAsia="zh-CN"/>
              </w:rPr>
              <w:t>/</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rPr>
            </w:pPr>
            <w:r>
              <w:rPr>
                <w:rFonts w:hint="default" w:ascii="Times New Roman" w:hAnsi="Times New Roman" w:eastAsia="宋体" w:cs="Times New Roman"/>
                <w:sz w:val="18"/>
                <w:szCs w:val="18"/>
                <w:vertAlign w:val="baseline"/>
                <w:lang w:val="en-US" w:eastAsia="zh-CN"/>
              </w:rPr>
              <w:t>/</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w:t>
            </w:r>
          </w:p>
        </w:tc>
        <w:tc>
          <w:tcPr>
            <w:tcW w:w="1575" w:type="dxa"/>
            <w:vAlign w:val="center"/>
          </w:tcPr>
          <w:p>
            <w:pPr>
              <w:pStyle w:val="7"/>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vertAlign w:val="baseline"/>
                <w:lang w:val="en-US" w:eastAsia="zh-CN" w:bidi="zh-CN"/>
              </w:rPr>
            </w:pPr>
            <w:r>
              <w:rPr>
                <w:rFonts w:hint="default" w:ascii="Times New Roman" w:hAnsi="Times New Roman" w:eastAsia="宋体" w:cs="Times New Roman"/>
                <w:sz w:val="18"/>
                <w:szCs w:val="18"/>
                <w:lang w:val="en-US" w:eastAsia="zh-CN"/>
              </w:rPr>
              <w:t>18.25</w:t>
            </w:r>
            <w:r>
              <w:rPr>
                <w:rFonts w:hint="default" w:ascii="Times New Roman" w:hAnsi="Times New Roman" w:eastAsia="宋体" w:cs="Times New Roman"/>
                <w:sz w:val="18"/>
                <w:szCs w:val="18"/>
                <w:vertAlign w:val="baseline"/>
                <w:lang w:val="en-US" w:eastAsia="zh-CN"/>
              </w:rPr>
              <w:t>t/a</w:t>
            </w: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0000FF"/>
                <w:sz w:val="18"/>
                <w:szCs w:val="18"/>
                <w:vertAlign w:val="baseline"/>
              </w:rPr>
            </w:pPr>
            <w:r>
              <w:rPr>
                <w:rFonts w:hint="default" w:ascii="Times New Roman" w:hAnsi="Times New Roman" w:eastAsia="宋体" w:cs="Times New Roman"/>
                <w:sz w:val="18"/>
                <w:szCs w:val="18"/>
                <w:vertAlign w:val="baseline"/>
                <w:lang w:val="en-US" w:eastAsia="zh-CN"/>
              </w:rPr>
              <w:t>/</w:t>
            </w:r>
          </w:p>
        </w:tc>
        <w:tc>
          <w:tcPr>
            <w:tcW w:w="1801" w:type="dxa"/>
            <w:vAlign w:val="center"/>
          </w:tcPr>
          <w:p>
            <w:pPr>
              <w:pStyle w:val="7"/>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FF"/>
                <w:sz w:val="18"/>
                <w:szCs w:val="18"/>
                <w:vertAlign w:val="baseline"/>
              </w:rPr>
            </w:pPr>
            <w:r>
              <w:rPr>
                <w:rFonts w:hint="default" w:ascii="Times New Roman" w:hAnsi="Times New Roman" w:eastAsia="宋体" w:cs="Times New Roman"/>
                <w:sz w:val="18"/>
                <w:szCs w:val="18"/>
                <w:lang w:val="en-US" w:eastAsia="zh-CN"/>
              </w:rPr>
              <w:t>18.25</w:t>
            </w:r>
            <w:r>
              <w:rPr>
                <w:rFonts w:hint="default" w:ascii="Times New Roman" w:hAnsi="Times New Roman" w:eastAsia="宋体" w:cs="Times New Roman"/>
                <w:sz w:val="18"/>
                <w:szCs w:val="18"/>
                <w:vertAlign w:val="baseline"/>
                <w:lang w:val="en-US" w:eastAsia="zh-CN"/>
              </w:rPr>
              <w:t>t/a</w:t>
            </w:r>
          </w:p>
        </w:tc>
        <w:tc>
          <w:tcPr>
            <w:tcW w:w="1349" w:type="dxa"/>
            <w:vAlign w:val="center"/>
          </w:tcPr>
          <w:p>
            <w:pPr>
              <w:pStyle w:val="7"/>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z w:val="18"/>
                <w:szCs w:val="18"/>
                <w:vertAlign w:val="baseline"/>
              </w:rPr>
            </w:pPr>
            <w:r>
              <w:rPr>
                <w:rFonts w:hint="default" w:ascii="Times New Roman" w:hAnsi="Times New Roman" w:eastAsia="宋体" w:cs="Times New Roman"/>
                <w:sz w:val="18"/>
                <w:szCs w:val="18"/>
                <w:vertAlign w:val="baseline"/>
                <w:lang w:val="en-US" w:eastAsia="zh-CN"/>
              </w:rPr>
              <w:t>+</w:t>
            </w:r>
            <w:r>
              <w:rPr>
                <w:rFonts w:hint="default" w:ascii="Times New Roman" w:hAnsi="Times New Roman" w:eastAsia="宋体" w:cs="Times New Roman"/>
                <w:sz w:val="18"/>
                <w:szCs w:val="18"/>
                <w:lang w:val="en-US" w:eastAsia="zh-CN"/>
              </w:rPr>
              <w:t>18.25</w:t>
            </w:r>
            <w:r>
              <w:rPr>
                <w:rFonts w:hint="default" w:ascii="Times New Roman" w:hAnsi="Times New Roman" w:eastAsia="宋体" w:cs="Times New Roman"/>
                <w:sz w:val="18"/>
                <w:szCs w:val="18"/>
                <w:vertAlign w:val="baseli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Merge w:val="restart"/>
            <w:vAlign w:val="center"/>
          </w:tcPr>
          <w:p>
            <w:pPr>
              <w:pStyle w:val="26"/>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sz w:val="18"/>
                <w:szCs w:val="18"/>
                <w:vertAlign w:val="baseline"/>
              </w:rPr>
            </w:pP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sz w:val="18"/>
                <w:szCs w:val="18"/>
                <w:vertAlign w:val="baseline"/>
              </w:rPr>
            </w:pP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sz w:val="18"/>
                <w:szCs w:val="18"/>
                <w:vertAlign w:val="baseline"/>
              </w:rPr>
            </w:pP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sz w:val="18"/>
                <w:szCs w:val="18"/>
                <w:vertAlign w:val="baseline"/>
              </w:rPr>
            </w:pP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sz w:val="18"/>
                <w:szCs w:val="18"/>
                <w:vertAlign w:val="baseline"/>
              </w:rPr>
            </w:pP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sz w:val="18"/>
                <w:szCs w:val="18"/>
                <w:vertAlign w:val="baseline"/>
              </w:rPr>
            </w:pP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sz w:val="18"/>
                <w:szCs w:val="18"/>
                <w:vertAlign w:val="baseline"/>
              </w:rPr>
            </w:pPr>
          </w:p>
        </w:tc>
        <w:tc>
          <w:tcPr>
            <w:tcW w:w="1801"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sz w:val="18"/>
                <w:szCs w:val="18"/>
                <w:vertAlign w:val="baseline"/>
              </w:rPr>
            </w:pPr>
          </w:p>
        </w:tc>
        <w:tc>
          <w:tcPr>
            <w:tcW w:w="1349"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Merge w:val="continue"/>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sz w:val="18"/>
                <w:szCs w:val="18"/>
                <w:vertAlign w:val="baseline"/>
              </w:rPr>
            </w:pP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sz w:val="18"/>
                <w:szCs w:val="18"/>
                <w:vertAlign w:val="baseline"/>
              </w:rPr>
            </w:pP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sz w:val="18"/>
                <w:szCs w:val="18"/>
                <w:vertAlign w:val="baseline"/>
              </w:rPr>
            </w:pP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sz w:val="18"/>
                <w:szCs w:val="18"/>
                <w:vertAlign w:val="baseline"/>
              </w:rPr>
            </w:pP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sz w:val="18"/>
                <w:szCs w:val="18"/>
                <w:vertAlign w:val="baseline"/>
              </w:rPr>
            </w:pP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sz w:val="18"/>
                <w:szCs w:val="18"/>
                <w:vertAlign w:val="baseline"/>
              </w:rPr>
            </w:pPr>
          </w:p>
        </w:tc>
        <w:tc>
          <w:tcPr>
            <w:tcW w:w="1575"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sz w:val="18"/>
                <w:szCs w:val="18"/>
                <w:vertAlign w:val="baseline"/>
              </w:rPr>
            </w:pPr>
          </w:p>
        </w:tc>
        <w:tc>
          <w:tcPr>
            <w:tcW w:w="1801"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sz w:val="18"/>
                <w:szCs w:val="18"/>
                <w:vertAlign w:val="baseline"/>
              </w:rPr>
            </w:pPr>
          </w:p>
        </w:tc>
        <w:tc>
          <w:tcPr>
            <w:tcW w:w="1349" w:type="dxa"/>
            <w:vAlign w:val="center"/>
          </w:tcPr>
          <w:p>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sz w:val="18"/>
                <w:szCs w:val="18"/>
                <w:vertAlign w:val="baseline"/>
              </w:rPr>
            </w:pPr>
          </w:p>
        </w:tc>
      </w:tr>
    </w:tbl>
    <w:p>
      <w:pPr>
        <w:jc w:val="left"/>
      </w:pPr>
      <w:r>
        <w:rPr>
          <w:sz w:val="21"/>
        </w:rPr>
        <w:t>注：⑥=①+③+④-⑤；⑦=⑥-</w:t>
      </w:r>
      <w:r>
        <w:rPr>
          <w:rFonts w:hint="eastAsia"/>
          <w:sz w:val="21"/>
        </w:rPr>
        <w:t>①</w:t>
      </w:r>
    </w:p>
    <w:sectPr>
      <w:pgSz w:w="16838" w:h="11906" w:orient="landscape"/>
      <w:pgMar w:top="1800" w:right="1440" w:bottom="1800"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959485</wp:posOffset>
              </wp:positionH>
              <wp:positionV relativeFrom="page">
                <wp:posOffset>9902190</wp:posOffset>
              </wp:positionV>
              <wp:extent cx="801370" cy="335915"/>
              <wp:effectExtent l="0" t="0" r="0" b="0"/>
              <wp:wrapNone/>
              <wp:docPr id="6" name="文本框 6"/>
              <wp:cNvGraphicFramePr/>
              <a:graphic xmlns:a="http://schemas.openxmlformats.org/drawingml/2006/main">
                <a:graphicData uri="http://schemas.microsoft.com/office/word/2010/wordprocessingShape">
                  <wps:wsp>
                    <wps:cNvSpPr txBox="1"/>
                    <wps:spPr>
                      <a:xfrm>
                        <a:off x="0" y="0"/>
                        <a:ext cx="801370" cy="335915"/>
                      </a:xfrm>
                      <a:prstGeom prst="rect">
                        <a:avLst/>
                      </a:prstGeom>
                      <a:noFill/>
                      <a:ln>
                        <a:noFill/>
                      </a:ln>
                    </wps:spPr>
                    <wps:txbx>
                      <w:txbxContent>
                        <w:p>
                          <w:pPr>
                            <w:spacing w:before="189" w:line="339" w:lineRule="exact"/>
                            <w:ind w:left="20" w:right="0" w:firstLine="0"/>
                            <w:jc w:val="left"/>
                            <w:rPr>
                              <w:sz w:val="28"/>
                            </w:rPr>
                          </w:pPr>
                          <w:r>
                            <w:rPr>
                              <w:sz w:val="28"/>
                            </w:rPr>
                            <w:t xml:space="preserve">— </w:t>
                          </w:r>
                          <w:r>
                            <w:fldChar w:fldCharType="begin"/>
                          </w:r>
                          <w:r>
                            <w:rPr>
                              <w:sz w:val="26"/>
                            </w:rPr>
                            <w:instrText xml:space="preserve"> PAGE </w:instrText>
                          </w:r>
                          <w:r>
                            <w:fldChar w:fldCharType="separate"/>
                          </w:r>
                          <w:r>
                            <w:t>10</w:t>
                          </w:r>
                          <w:r>
                            <w:fldChar w:fldCharType="end"/>
                          </w:r>
                          <w:r>
                            <w:rPr>
                              <w:sz w:val="26"/>
                            </w:rPr>
                            <w:t xml:space="preserve"> </w:t>
                          </w:r>
                          <w:r>
                            <w:rPr>
                              <w:sz w:val="28"/>
                            </w:rPr>
                            <w:t>—</w:t>
                          </w:r>
                        </w:p>
                      </w:txbxContent>
                    </wps:txbx>
                    <wps:bodyPr lIns="0" tIns="0" rIns="0" bIns="0" upright="1"/>
                  </wps:wsp>
                </a:graphicData>
              </a:graphic>
            </wp:anchor>
          </w:drawing>
        </mc:Choice>
        <mc:Fallback>
          <w:pict>
            <v:shape id="_x0000_s1026" o:spid="_x0000_s1026" o:spt="202" type="#_x0000_t202" style="position:absolute;left:0pt;margin-left:75.55pt;margin-top:779.7pt;height:26.45pt;width:63.1pt;mso-position-horizontal-relative:page;mso-position-vertical-relative:page;z-index:-251657216;mso-width-relative:page;mso-height-relative:page;" filled="f" stroked="f" coordsize="21600,21600" o:gfxdata="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xrI5fbAAAADQEAAA8AAAAAAAAAAQAgAAAAIgAAAGRycy9kb3ducmV2LnhtbFBL&#10;AQIUABQAAAAIAIdO4kDALrIougEAAHEDAAAOAAAAAAAAAAEAIAAAACoBAABkcnMvZTJvRG9jLnht&#10;bFBLBQYAAAAABgAGAFkBAABWBQAAAAA=&#10;">
              <v:fill on="f" focussize="0,0"/>
              <v:stroke on="f"/>
              <v:imagedata o:title=""/>
              <o:lock v:ext="edit" aspectratio="f"/>
              <v:textbox inset="0mm,0mm,0mm,0mm">
                <w:txbxContent>
                  <w:p>
                    <w:pPr>
                      <w:spacing w:before="189" w:line="339" w:lineRule="exact"/>
                      <w:ind w:left="20" w:right="0" w:firstLine="0"/>
                      <w:jc w:val="left"/>
                      <w:rPr>
                        <w:sz w:val="28"/>
                      </w:rPr>
                    </w:pPr>
                    <w:r>
                      <w:rPr>
                        <w:sz w:val="28"/>
                      </w:rPr>
                      <w:t xml:space="preserve">— </w:t>
                    </w:r>
                    <w:r>
                      <w:fldChar w:fldCharType="begin"/>
                    </w:r>
                    <w:r>
                      <w:rPr>
                        <w:sz w:val="26"/>
                      </w:rPr>
                      <w:instrText xml:space="preserve"> PAGE </w:instrText>
                    </w:r>
                    <w:r>
                      <w:fldChar w:fldCharType="separate"/>
                    </w:r>
                    <w:r>
                      <w:t>10</w:t>
                    </w:r>
                    <w:r>
                      <w:fldChar w:fldCharType="end"/>
                    </w:r>
                    <w:r>
                      <w:rPr>
                        <w:sz w:val="26"/>
                      </w:rPr>
                      <w:t xml:space="preserve"> </w:t>
                    </w:r>
                    <w:r>
                      <w:rPr>
                        <w:sz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959485</wp:posOffset>
              </wp:positionH>
              <wp:positionV relativeFrom="page">
                <wp:posOffset>10035540</wp:posOffset>
              </wp:positionV>
              <wp:extent cx="718820" cy="203835"/>
              <wp:effectExtent l="0" t="0" r="0" b="0"/>
              <wp:wrapNone/>
              <wp:docPr id="5" name="文本框 5"/>
              <wp:cNvGraphicFramePr/>
              <a:graphic xmlns:a="http://schemas.openxmlformats.org/drawingml/2006/main">
                <a:graphicData uri="http://schemas.microsoft.com/office/word/2010/wordprocessingShape">
                  <wps:wsp>
                    <wps:cNvSpPr txBox="1"/>
                    <wps:spPr>
                      <a:xfrm>
                        <a:off x="0" y="0"/>
                        <a:ext cx="718820" cy="203835"/>
                      </a:xfrm>
                      <a:prstGeom prst="rect">
                        <a:avLst/>
                      </a:prstGeom>
                      <a:noFill/>
                      <a:ln>
                        <a:noFill/>
                      </a:ln>
                    </wps:spPr>
                    <wps:txbx>
                      <w:txbxContent>
                        <w:p>
                          <w:pPr>
                            <w:spacing w:before="0" w:line="321" w:lineRule="exact"/>
                            <w:ind w:left="20" w:right="0" w:firstLine="0"/>
                            <w:jc w:val="left"/>
                            <w:rPr>
                              <w:sz w:val="28"/>
                            </w:rPr>
                          </w:pPr>
                          <w:r>
                            <w:rPr>
                              <w:sz w:val="28"/>
                            </w:rPr>
                            <w:t xml:space="preserve">— </w:t>
                          </w:r>
                          <w:r>
                            <w:fldChar w:fldCharType="begin"/>
                          </w:r>
                          <w:r>
                            <w:rPr>
                              <w:sz w:val="26"/>
                            </w:rPr>
                            <w:instrText xml:space="preserve"> PAGE </w:instrText>
                          </w:r>
                          <w:r>
                            <w:fldChar w:fldCharType="separate"/>
                          </w:r>
                          <w:r>
                            <w:t>8</w:t>
                          </w:r>
                          <w:r>
                            <w:fldChar w:fldCharType="end"/>
                          </w:r>
                          <w:r>
                            <w:rPr>
                              <w:sz w:val="26"/>
                            </w:rPr>
                            <w:t xml:space="preserve"> </w:t>
                          </w:r>
                          <w:r>
                            <w:rPr>
                              <w:sz w:val="28"/>
                            </w:rPr>
                            <w:t>—</w:t>
                          </w:r>
                        </w:p>
                      </w:txbxContent>
                    </wps:txbx>
                    <wps:bodyPr lIns="0" tIns="0" rIns="0" bIns="0" upright="1"/>
                  </wps:wsp>
                </a:graphicData>
              </a:graphic>
            </wp:anchor>
          </w:drawing>
        </mc:Choice>
        <mc:Fallback>
          <w:pict>
            <v:shape id="_x0000_s1026" o:spid="_x0000_s1026" o:spt="202" type="#_x0000_t202" style="position:absolute;left:0pt;margin-left:75.55pt;margin-top:790.2pt;height:16.05pt;width:56.6pt;mso-position-horizontal-relative:page;mso-position-vertical-relative:page;z-index:-251656192;mso-width-relative:page;mso-height-relative:page;" filled="f" stroked="f" coordsize="21600,21600" o:gfxdata="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6FdEtoAAAANAQAADwAAAAAAAAABACAAAAAiAAAAZHJzL2Rvd25yZXYueG1sUEsB&#10;AhQAFAAAAAgAh07iQMQWGJe6AQAAcQMAAA4AAAAAAAAAAQAgAAAAKQEAAGRycy9lMm9Eb2MueG1s&#10;UEsFBgAAAAAGAAYAWQEAAFUFAAAAAA==&#10;">
              <v:fill on="f" focussize="0,0"/>
              <v:stroke on="f"/>
              <v:imagedata o:title=""/>
              <o:lock v:ext="edit" aspectratio="f"/>
              <v:textbox inset="0mm,0mm,0mm,0mm">
                <w:txbxContent>
                  <w:p>
                    <w:pPr>
                      <w:spacing w:before="0" w:line="321" w:lineRule="exact"/>
                      <w:ind w:left="20" w:right="0" w:firstLine="0"/>
                      <w:jc w:val="left"/>
                      <w:rPr>
                        <w:sz w:val="28"/>
                      </w:rPr>
                    </w:pPr>
                    <w:r>
                      <w:rPr>
                        <w:sz w:val="28"/>
                      </w:rPr>
                      <w:t xml:space="preserve">— </w:t>
                    </w:r>
                    <w:r>
                      <w:fldChar w:fldCharType="begin"/>
                    </w:r>
                    <w:r>
                      <w:rPr>
                        <w:sz w:val="26"/>
                      </w:rPr>
                      <w:instrText xml:space="preserve"> PAGE </w:instrText>
                    </w:r>
                    <w:r>
                      <w:fldChar w:fldCharType="separate"/>
                    </w:r>
                    <w:r>
                      <w:t>8</w:t>
                    </w:r>
                    <w:r>
                      <w:fldChar w:fldCharType="end"/>
                    </w:r>
                    <w:r>
                      <w:rPr>
                        <w:sz w:val="26"/>
                      </w:rPr>
                      <w:t xml:space="preserve"> </w:t>
                    </w:r>
                    <w:r>
                      <w:rPr>
                        <w:sz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70ED12"/>
    <w:multiLevelType w:val="singleLevel"/>
    <w:tmpl w:val="C270ED12"/>
    <w:lvl w:ilvl="0" w:tentative="0">
      <w:start w:val="1"/>
      <w:numFmt w:val="decimal"/>
      <w:suff w:val="nothing"/>
      <w:lvlText w:val="（%1）"/>
      <w:lvlJc w:val="left"/>
    </w:lvl>
  </w:abstractNum>
  <w:abstractNum w:abstractNumId="1">
    <w:nsid w:val="FBC3F0B2"/>
    <w:multiLevelType w:val="singleLevel"/>
    <w:tmpl w:val="FBC3F0B2"/>
    <w:lvl w:ilvl="0" w:tentative="0">
      <w:start w:val="3"/>
      <w:numFmt w:val="decimal"/>
      <w:suff w:val="nothing"/>
      <w:lvlText w:val="%1、"/>
      <w:lvlJc w:val="left"/>
      <w:rPr>
        <w:rFonts w:hint="default"/>
        <w:b/>
        <w:bCs/>
      </w:rPr>
    </w:lvl>
  </w:abstractNum>
  <w:abstractNum w:abstractNumId="2">
    <w:nsid w:val="27A5396F"/>
    <w:multiLevelType w:val="singleLevel"/>
    <w:tmpl w:val="27A5396F"/>
    <w:lvl w:ilvl="0" w:tentative="0">
      <w:start w:val="1"/>
      <w:numFmt w:val="decimal"/>
      <w:suff w:val="nothing"/>
      <w:lvlText w:val="（%1）"/>
      <w:lvlJc w:val="left"/>
      <w:pPr>
        <w:tabs>
          <w:tab w:val="left" w:pos="0"/>
        </w:tabs>
        <w:ind w:left="0" w:firstLine="0"/>
      </w:pPr>
    </w:lvl>
  </w:abstractNum>
  <w:abstractNum w:abstractNumId="3">
    <w:nsid w:val="33EF1FC1"/>
    <w:multiLevelType w:val="multilevel"/>
    <w:tmpl w:val="33EF1FC1"/>
    <w:lvl w:ilvl="0" w:tentative="0">
      <w:start w:val="1"/>
      <w:numFmt w:val="decimal"/>
      <w:pStyle w:val="28"/>
      <w:lvlText w:val="%1"/>
      <w:lvlJc w:val="left"/>
      <w:pPr>
        <w:ind w:left="240" w:firstLine="0"/>
      </w:pPr>
      <w:rPr>
        <w:rFonts w:hint="eastAsia"/>
      </w:rPr>
    </w:lvl>
    <w:lvl w:ilvl="1" w:tentative="0">
      <w:start w:val="1"/>
      <w:numFmt w:val="decimal"/>
      <w:pStyle w:val="31"/>
      <w:lvlText w:val="%1.%2"/>
      <w:lvlJc w:val="left"/>
      <w:pPr>
        <w:ind w:left="0" w:firstLine="0"/>
      </w:pPr>
      <w:rPr>
        <w:rFonts w:hint="eastAsia"/>
      </w:rPr>
    </w:lvl>
    <w:lvl w:ilvl="2" w:tentative="0">
      <w:start w:val="1"/>
      <w:numFmt w:val="decimal"/>
      <w:lvlText w:val="%1.%2.%3"/>
      <w:lvlJc w:val="left"/>
      <w:pPr>
        <w:ind w:left="0" w:firstLine="0"/>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36970A70"/>
    <w:multiLevelType w:val="multilevel"/>
    <w:tmpl w:val="36970A70"/>
    <w:lvl w:ilvl="0" w:tentative="0">
      <w:start w:val="1"/>
      <w:numFmt w:val="decimal"/>
      <w:pStyle w:val="29"/>
      <w:lvlText w:val="表%1 "/>
      <w:lvlJc w:val="left"/>
      <w:pPr>
        <w:ind w:left="5098" w:hanging="420"/>
      </w:pPr>
      <w:rPr>
        <w:rFonts w:hint="default" w:ascii="Times New Roman" w:hAnsi="Times New Roman"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93D9166"/>
    <w:multiLevelType w:val="singleLevel"/>
    <w:tmpl w:val="493D9166"/>
    <w:lvl w:ilvl="0" w:tentative="0">
      <w:start w:val="2"/>
      <w:numFmt w:val="decimal"/>
      <w:suff w:val="nothing"/>
      <w:lvlText w:val="（%1）"/>
      <w:lvlJc w:val="left"/>
    </w:lvl>
  </w:abstractNum>
  <w:num w:numId="1">
    <w:abstractNumId w:val="3"/>
  </w:num>
  <w:num w:numId="2">
    <w:abstractNumId w:val="4"/>
  </w:num>
  <w:num w:numId="3">
    <w:abstractNumId w:val="1"/>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C072DF"/>
    <w:rsid w:val="022F7A07"/>
    <w:rsid w:val="023E0E0E"/>
    <w:rsid w:val="04E16AB3"/>
    <w:rsid w:val="05F31695"/>
    <w:rsid w:val="0659211F"/>
    <w:rsid w:val="07316351"/>
    <w:rsid w:val="07375C56"/>
    <w:rsid w:val="086454DB"/>
    <w:rsid w:val="089F6D4A"/>
    <w:rsid w:val="0C350447"/>
    <w:rsid w:val="0CC973CB"/>
    <w:rsid w:val="0FB35AD6"/>
    <w:rsid w:val="106C34E6"/>
    <w:rsid w:val="123211AD"/>
    <w:rsid w:val="126C55E0"/>
    <w:rsid w:val="14AC60C7"/>
    <w:rsid w:val="18547328"/>
    <w:rsid w:val="1A214290"/>
    <w:rsid w:val="1C1E0766"/>
    <w:rsid w:val="200F401F"/>
    <w:rsid w:val="24980CB9"/>
    <w:rsid w:val="25662D19"/>
    <w:rsid w:val="259A3214"/>
    <w:rsid w:val="289E2621"/>
    <w:rsid w:val="2A5C142E"/>
    <w:rsid w:val="2ACD398E"/>
    <w:rsid w:val="2ACD39E6"/>
    <w:rsid w:val="2E5635AE"/>
    <w:rsid w:val="2F9311C4"/>
    <w:rsid w:val="30082379"/>
    <w:rsid w:val="31C462CB"/>
    <w:rsid w:val="336E3D90"/>
    <w:rsid w:val="33735D51"/>
    <w:rsid w:val="33E621BC"/>
    <w:rsid w:val="3410208A"/>
    <w:rsid w:val="37AA0CC8"/>
    <w:rsid w:val="39B3684A"/>
    <w:rsid w:val="3AA506E7"/>
    <w:rsid w:val="3BAE1C24"/>
    <w:rsid w:val="41262696"/>
    <w:rsid w:val="41C536AE"/>
    <w:rsid w:val="43DC5809"/>
    <w:rsid w:val="449F1529"/>
    <w:rsid w:val="44F030FB"/>
    <w:rsid w:val="48643B50"/>
    <w:rsid w:val="4ACD6912"/>
    <w:rsid w:val="4E7F7D6D"/>
    <w:rsid w:val="4FF5060C"/>
    <w:rsid w:val="506C3B6D"/>
    <w:rsid w:val="51FE5010"/>
    <w:rsid w:val="52EE374C"/>
    <w:rsid w:val="53342AAC"/>
    <w:rsid w:val="55FA34F4"/>
    <w:rsid w:val="56AA07EB"/>
    <w:rsid w:val="57D20938"/>
    <w:rsid w:val="594F6044"/>
    <w:rsid w:val="5A3E6EB1"/>
    <w:rsid w:val="5CCF6D40"/>
    <w:rsid w:val="5D866544"/>
    <w:rsid w:val="5FFF4803"/>
    <w:rsid w:val="61B51448"/>
    <w:rsid w:val="63E6279E"/>
    <w:rsid w:val="63E72F98"/>
    <w:rsid w:val="63FA78B8"/>
    <w:rsid w:val="64E57A54"/>
    <w:rsid w:val="663A1147"/>
    <w:rsid w:val="677A742D"/>
    <w:rsid w:val="67C108BC"/>
    <w:rsid w:val="6CFE04FD"/>
    <w:rsid w:val="70C072DF"/>
    <w:rsid w:val="70D13D08"/>
    <w:rsid w:val="7254686A"/>
    <w:rsid w:val="753605F8"/>
    <w:rsid w:val="75B117FF"/>
    <w:rsid w:val="75DE5A15"/>
    <w:rsid w:val="75F42F40"/>
    <w:rsid w:val="7681005C"/>
    <w:rsid w:val="772142AE"/>
    <w:rsid w:val="77630196"/>
    <w:rsid w:val="79A804E1"/>
    <w:rsid w:val="79C47B80"/>
    <w:rsid w:val="7AE40352"/>
    <w:rsid w:val="7BB337D9"/>
    <w:rsid w:val="7C645BB3"/>
    <w:rsid w:val="7E5A07BA"/>
    <w:rsid w:val="7E7847F5"/>
    <w:rsid w:val="7FDC75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440" w:lineRule="exact"/>
      <w:ind w:left="0" w:right="0"/>
      <w:jc w:val="center"/>
    </w:pPr>
    <w:rPr>
      <w:rFonts w:ascii="Times New Roman" w:hAnsi="Times New Roman" w:eastAsia="宋体" w:cs="宋体"/>
      <w:sz w:val="24"/>
      <w:szCs w:val="24"/>
      <w:lang w:val="zh-CN" w:eastAsia="zh-CN" w:bidi="zh-CN"/>
    </w:rPr>
  </w:style>
  <w:style w:type="paragraph" w:styleId="3">
    <w:name w:val="heading 1"/>
    <w:basedOn w:val="1"/>
    <w:next w:val="1"/>
    <w:qFormat/>
    <w:uiPriority w:val="1"/>
    <w:pPr>
      <w:spacing w:after="50" w:afterLines="50"/>
      <w:ind w:left="0" w:right="0"/>
      <w:jc w:val="center"/>
      <w:outlineLvl w:val="0"/>
    </w:pPr>
    <w:rPr>
      <w:rFonts w:cs="Times New Roman"/>
      <w:b/>
      <w:bCs/>
      <w:sz w:val="32"/>
      <w:szCs w:val="32"/>
    </w:rPr>
  </w:style>
  <w:style w:type="paragraph" w:styleId="2">
    <w:name w:val="heading 2"/>
    <w:basedOn w:val="1"/>
    <w:next w:val="1"/>
    <w:unhideWhenUsed/>
    <w:qFormat/>
    <w:uiPriority w:val="9"/>
    <w:pPr>
      <w:spacing w:line="360" w:lineRule="auto"/>
      <w:outlineLvl w:val="1"/>
    </w:pPr>
    <w:rPr>
      <w:rFonts w:eastAsia="黑体"/>
      <w:bCs/>
      <w:sz w:val="24"/>
      <w:szCs w:val="32"/>
    </w:rPr>
  </w:style>
  <w:style w:type="paragraph" w:styleId="4">
    <w:name w:val="heading 3"/>
    <w:basedOn w:val="1"/>
    <w:next w:val="1"/>
    <w:qFormat/>
    <w:uiPriority w:val="0"/>
    <w:pPr>
      <w:keepNext/>
      <w:keepLines/>
      <w:outlineLvl w:val="2"/>
    </w:pPr>
    <w:rPr>
      <w:bCs/>
      <w:szCs w:val="32"/>
    </w:rPr>
  </w:style>
  <w:style w:type="paragraph" w:styleId="5">
    <w:name w:val="heading 4"/>
    <w:basedOn w:val="1"/>
    <w:next w:val="1"/>
    <w:qFormat/>
    <w:uiPriority w:val="0"/>
    <w:pPr>
      <w:keepNext/>
      <w:keepLines/>
      <w:spacing w:before="280" w:after="290" w:line="374" w:lineRule="auto"/>
      <w:outlineLvl w:val="3"/>
    </w:pPr>
    <w:rPr>
      <w:rFonts w:ascii="Arial" w:hAnsi="Arial" w:eastAsia="黑体"/>
      <w:b/>
      <w:bCs/>
      <w:sz w:val="28"/>
      <w:szCs w:val="28"/>
    </w:rPr>
  </w:style>
  <w:style w:type="paragraph" w:styleId="6">
    <w:name w:val="heading 6"/>
    <w:basedOn w:val="1"/>
    <w:next w:val="1"/>
    <w:qFormat/>
    <w:uiPriority w:val="0"/>
    <w:pPr>
      <w:keepNext/>
      <w:keepLines/>
      <w:adjustRightInd w:val="0"/>
      <w:spacing w:before="240" w:beforeLines="0" w:after="64" w:afterLines="0" w:line="320" w:lineRule="atLeast"/>
      <w:jc w:val="left"/>
      <w:textAlignment w:val="baseline"/>
      <w:outlineLvl w:val="5"/>
    </w:pPr>
    <w:rPr>
      <w:rFonts w:ascii="Arial" w:hAnsi="Arial" w:eastAsia="黑体"/>
      <w:b/>
      <w:kern w:val="0"/>
      <w:sz w:val="24"/>
      <w:szCs w:val="20"/>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7">
    <w:name w:val="Normal Indent"/>
    <w:basedOn w:val="1"/>
    <w:next w:val="1"/>
    <w:qFormat/>
    <w:uiPriority w:val="0"/>
    <w:pPr>
      <w:adjustRightInd w:val="0"/>
      <w:snapToGrid w:val="0"/>
      <w:spacing w:line="360" w:lineRule="auto"/>
      <w:ind w:firstLine="420"/>
    </w:pPr>
    <w:rPr>
      <w:rFonts w:eastAsia="楷体_GB2312"/>
      <w:spacing w:val="8"/>
      <w:kern w:val="0"/>
    </w:rPr>
  </w:style>
  <w:style w:type="paragraph" w:styleId="8">
    <w:name w:val="annotation text"/>
    <w:basedOn w:val="1"/>
    <w:qFormat/>
    <w:uiPriority w:val="0"/>
    <w:pPr>
      <w:adjustRightInd w:val="0"/>
      <w:snapToGrid w:val="0"/>
      <w:spacing w:line="360" w:lineRule="auto"/>
      <w:jc w:val="left"/>
    </w:pPr>
    <w:rPr>
      <w:rFonts w:eastAsia="楷体_GB2312"/>
      <w:spacing w:val="8"/>
      <w:kern w:val="0"/>
      <w:szCs w:val="24"/>
    </w:rPr>
  </w:style>
  <w:style w:type="paragraph" w:styleId="9">
    <w:name w:val="Body Text"/>
    <w:basedOn w:val="1"/>
    <w:qFormat/>
    <w:uiPriority w:val="1"/>
    <w:rPr>
      <w:rFonts w:ascii="黑体" w:hAnsi="黑体" w:eastAsia="黑体" w:cs="黑体"/>
      <w:sz w:val="30"/>
      <w:szCs w:val="30"/>
      <w:lang w:val="zh-CN" w:eastAsia="zh-CN" w:bidi="zh-CN"/>
    </w:rPr>
  </w:style>
  <w:style w:type="paragraph" w:styleId="10">
    <w:name w:val="Body Text Indent"/>
    <w:basedOn w:val="1"/>
    <w:qFormat/>
    <w:uiPriority w:val="0"/>
    <w:pPr>
      <w:ind w:firstLine="480" w:firstLineChars="200"/>
    </w:pPr>
    <w:rPr>
      <w:sz w:val="24"/>
    </w:rPr>
  </w:style>
  <w:style w:type="paragraph" w:styleId="11">
    <w:name w:val="Block Text"/>
    <w:basedOn w:val="1"/>
    <w:qFormat/>
    <w:uiPriority w:val="0"/>
    <w:pPr>
      <w:ind w:left="480" w:right="-1414"/>
      <w:jc w:val="left"/>
    </w:pPr>
    <w:rPr>
      <w:rFonts w:ascii="仿宋_GB2312"/>
    </w:rPr>
  </w:style>
  <w:style w:type="paragraph" w:styleId="12">
    <w:name w:val="toc 2"/>
    <w:basedOn w:val="1"/>
    <w:next w:val="1"/>
    <w:qFormat/>
    <w:uiPriority w:val="0"/>
    <w:pPr>
      <w:ind w:left="240"/>
    </w:pPr>
    <w:rPr>
      <w:rFonts w:ascii="Calibri" w:hAnsi="Calibri"/>
      <w:smallCaps/>
      <w:sz w:val="20"/>
    </w:rPr>
  </w:style>
  <w:style w:type="paragraph" w:styleId="13">
    <w:name w:val="Title"/>
    <w:basedOn w:val="1"/>
    <w:next w:val="1"/>
    <w:qFormat/>
    <w:uiPriority w:val="0"/>
    <w:pPr>
      <w:spacing w:before="240" w:after="60"/>
      <w:jc w:val="center"/>
      <w:outlineLvl w:val="0"/>
    </w:pPr>
    <w:rPr>
      <w:rFonts w:ascii="Cambria" w:hAnsi="Cambria"/>
      <w:b/>
      <w:bCs/>
      <w:sz w:val="32"/>
      <w:szCs w:val="32"/>
    </w:rPr>
  </w:style>
  <w:style w:type="paragraph" w:styleId="14">
    <w:name w:val="Body Text First Indent 2"/>
    <w:basedOn w:val="10"/>
    <w:unhideWhenUsed/>
    <w:qFormat/>
    <w:uiPriority w:val="99"/>
    <w:pPr>
      <w:spacing w:after="120"/>
      <w:ind w:left="420" w:leftChars="200" w:firstLine="420"/>
    </w:pPr>
    <w:rPr>
      <w:sz w:val="24"/>
      <w:szCs w:val="20"/>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qFormat/>
    <w:uiPriority w:val="0"/>
    <w:rPr>
      <w:rFonts w:eastAsia="仿宋"/>
      <w:b/>
      <w:bCs/>
      <w:sz w:val="24"/>
    </w:rPr>
  </w:style>
  <w:style w:type="character" w:styleId="19">
    <w:name w:val="Emphasis"/>
    <w:qFormat/>
    <w:uiPriority w:val="0"/>
    <w:rPr>
      <w:rFonts w:eastAsia="宋体"/>
      <w:iCs/>
      <w:sz w:val="21"/>
    </w:rPr>
  </w:style>
  <w:style w:type="paragraph" w:customStyle="1" w:styleId="20">
    <w:name w:val="Default"/>
    <w:next w:val="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1">
    <w:name w:val="样式 样式 样式 四号 左侧:  1.53 厘米 + 首行缩进:  2 字符 + 居中 左侧:  2 字符 首行缩进:  2..."/>
    <w:basedOn w:val="22"/>
    <w:qFormat/>
    <w:uiPriority w:val="0"/>
    <w:pPr>
      <w:adjustRightInd w:val="0"/>
      <w:spacing w:line="240" w:lineRule="auto"/>
      <w:ind w:left="200" w:leftChars="200" w:firstLine="0" w:firstLineChars="0"/>
      <w:jc w:val="center"/>
    </w:pPr>
    <w:rPr>
      <w:w w:val="90"/>
      <w:sz w:val="28"/>
    </w:rPr>
  </w:style>
  <w:style w:type="paragraph" w:customStyle="1" w:styleId="22">
    <w:name w:val="样式 样式 四号 左侧:  1.53 厘米 + 首行缩进:  2 字符"/>
    <w:basedOn w:val="23"/>
    <w:qFormat/>
    <w:uiPriority w:val="0"/>
    <w:pPr>
      <w:ind w:left="200" w:leftChars="200"/>
    </w:pPr>
    <w:rPr>
      <w:szCs w:val="20"/>
    </w:rPr>
  </w:style>
  <w:style w:type="paragraph" w:customStyle="1" w:styleId="23">
    <w:name w:val="样式 四号 左侧:  1.53 厘米"/>
    <w:basedOn w:val="1"/>
    <w:qFormat/>
    <w:uiPriority w:val="0"/>
    <w:pPr>
      <w:adjustRightInd w:val="0"/>
    </w:pPr>
    <w:rPr>
      <w:w w:val="90"/>
      <w:sz w:val="28"/>
      <w:szCs w:val="28"/>
    </w:rPr>
  </w:style>
  <w:style w:type="paragraph" w:customStyle="1" w:styleId="24">
    <w:name w:val="lh-正文-报告表"/>
    <w:basedOn w:val="1"/>
    <w:qFormat/>
    <w:uiPriority w:val="0"/>
    <w:pPr>
      <w:spacing w:line="360" w:lineRule="auto"/>
      <w:ind w:firstLine="480" w:firstLineChars="200"/>
    </w:pPr>
    <w:rPr>
      <w:kern w:val="0"/>
      <w:sz w:val="24"/>
      <w:szCs w:val="21"/>
    </w:rPr>
  </w:style>
  <w:style w:type="paragraph" w:customStyle="1" w:styleId="25">
    <w:name w:val="报告正文"/>
    <w:basedOn w:val="1"/>
    <w:qFormat/>
    <w:uiPriority w:val="0"/>
    <w:pPr>
      <w:spacing w:line="360" w:lineRule="auto"/>
      <w:ind w:firstLine="482"/>
    </w:pPr>
    <w:rPr>
      <w:rFonts w:ascii="”“Times New Roman”“" w:hAnsi="”“Times New Roman”“" w:eastAsia="Courier New" w:cs="Times New Roman"/>
      <w:kern w:val="0"/>
      <w:szCs w:val="21"/>
    </w:rPr>
  </w:style>
  <w:style w:type="paragraph" w:customStyle="1" w:styleId="26">
    <w:name w:val="Table Paragraph"/>
    <w:basedOn w:val="1"/>
    <w:qFormat/>
    <w:uiPriority w:val="1"/>
    <w:rPr>
      <w:rFonts w:ascii="宋体" w:hAnsi="宋体" w:eastAsia="宋体" w:cs="宋体"/>
      <w:lang w:val="zh-CN" w:eastAsia="zh-CN" w:bidi="zh-CN"/>
    </w:rPr>
  </w:style>
  <w:style w:type="paragraph" w:customStyle="1" w:styleId="27">
    <w:name w:val="lh-表格文字-报告表"/>
    <w:qFormat/>
    <w:uiPriority w:val="0"/>
    <w:pPr>
      <w:jc w:val="center"/>
    </w:pPr>
    <w:rPr>
      <w:rFonts w:ascii="Times New Roman" w:hAnsi="Times New Roman" w:eastAsia="宋体" w:cs="Times New Roman"/>
      <w:snapToGrid w:val="0"/>
      <w:sz w:val="21"/>
      <w:szCs w:val="24"/>
      <w:lang w:val="en-US" w:eastAsia="zh-CN" w:bidi="ar-SA"/>
    </w:rPr>
  </w:style>
  <w:style w:type="paragraph" w:customStyle="1" w:styleId="28">
    <w:name w:val="lh-1级标题--报告表"/>
    <w:next w:val="1"/>
    <w:qFormat/>
    <w:uiPriority w:val="0"/>
    <w:pPr>
      <w:keepNext/>
      <w:pageBreakBefore/>
      <w:numPr>
        <w:ilvl w:val="0"/>
        <w:numId w:val="1"/>
      </w:numPr>
      <w:spacing w:line="360" w:lineRule="auto"/>
      <w:outlineLvl w:val="0"/>
    </w:pPr>
    <w:rPr>
      <w:rFonts w:ascii="Times New Roman" w:hAnsi="Times New Roman" w:eastAsia="黑体" w:cs="Times New Roman"/>
      <w:bCs/>
      <w:snapToGrid w:val="0"/>
      <w:sz w:val="24"/>
      <w:szCs w:val="44"/>
      <w:lang w:val="en-US" w:eastAsia="zh-CN" w:bidi="ar-SA"/>
    </w:rPr>
  </w:style>
  <w:style w:type="paragraph" w:customStyle="1" w:styleId="29">
    <w:name w:val="lh-表题--报告表"/>
    <w:basedOn w:val="1"/>
    <w:qFormat/>
    <w:uiPriority w:val="0"/>
    <w:pPr>
      <w:keepNext/>
      <w:widowControl/>
      <w:numPr>
        <w:ilvl w:val="0"/>
        <w:numId w:val="2"/>
      </w:numPr>
      <w:spacing w:before="156" w:beforeLines="50"/>
      <w:jc w:val="center"/>
    </w:pPr>
    <w:rPr>
      <w:snapToGrid w:val="0"/>
      <w:kern w:val="0"/>
      <w:sz w:val="24"/>
      <w:szCs w:val="21"/>
    </w:rPr>
  </w:style>
  <w:style w:type="paragraph" w:customStyle="1" w:styleId="30">
    <w:name w:val="报告标题3"/>
    <w:basedOn w:val="1"/>
    <w:qFormat/>
    <w:uiPriority w:val="0"/>
    <w:pPr>
      <w:keepNext/>
      <w:keepLines/>
      <w:outlineLvl w:val="2"/>
    </w:pPr>
    <w:rPr>
      <w:rFonts w:ascii="Times New Roman" w:hAnsi="Times New Roman"/>
      <w:b/>
      <w:color w:val="000000"/>
      <w:kern w:val="1"/>
      <w:sz w:val="32"/>
    </w:rPr>
  </w:style>
  <w:style w:type="paragraph" w:customStyle="1" w:styleId="31">
    <w:name w:val="lh-2级标题---报告表"/>
    <w:next w:val="1"/>
    <w:qFormat/>
    <w:uiPriority w:val="0"/>
    <w:pPr>
      <w:keepNext/>
      <w:numPr>
        <w:ilvl w:val="1"/>
        <w:numId w:val="1"/>
      </w:numPr>
      <w:spacing w:line="360" w:lineRule="auto"/>
      <w:outlineLvl w:val="1"/>
    </w:pPr>
    <w:rPr>
      <w:rFonts w:ascii="Times New Roman" w:hAnsi="Times New Roman" w:eastAsia="黑体" w:cs="Times New Roman"/>
      <w:bCs/>
      <w:sz w:val="24"/>
      <w:szCs w:val="32"/>
      <w:lang w:val="en-US" w:eastAsia="zh-CN" w:bidi="ar-SA"/>
    </w:rPr>
  </w:style>
  <w:style w:type="paragraph" w:customStyle="1" w:styleId="32">
    <w:name w:val="表内2014"/>
    <w:basedOn w:val="1"/>
    <w:qFormat/>
    <w:uiPriority w:val="99"/>
    <w:pPr>
      <w:snapToGrid w:val="0"/>
      <w:spacing w:line="240" w:lineRule="auto"/>
      <w:ind w:firstLine="0" w:firstLineChars="0"/>
      <w:jc w:val="center"/>
    </w:pPr>
    <w:rPr>
      <w:sz w:val="21"/>
      <w:szCs w:val="21"/>
    </w:rPr>
  </w:style>
  <w:style w:type="paragraph" w:customStyle="1" w:styleId="33">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34">
    <w:name w:val="正文段落"/>
    <w:basedOn w:val="1"/>
    <w:qFormat/>
    <w:uiPriority w:val="0"/>
    <w:pPr>
      <w:spacing w:line="360" w:lineRule="auto"/>
      <w:ind w:firstLine="480" w:firstLineChars="200"/>
    </w:pPr>
    <w:rPr>
      <w:sz w:val="24"/>
    </w:rPr>
  </w:style>
  <w:style w:type="paragraph" w:customStyle="1" w:styleId="35">
    <w:name w:val="书表格内"/>
    <w:basedOn w:val="1"/>
    <w:qFormat/>
    <w:uiPriority w:val="0"/>
    <w:pPr>
      <w:spacing w:line="0" w:lineRule="atLeast"/>
      <w:ind w:firstLine="0" w:firstLineChars="0"/>
      <w:jc w:val="center"/>
    </w:pPr>
    <w:rPr>
      <w:sz w:val="21"/>
      <w:szCs w:val="21"/>
    </w:rPr>
  </w:style>
  <w:style w:type="paragraph" w:customStyle="1" w:styleId="36">
    <w:name w:val="表格1"/>
    <w:basedOn w:val="33"/>
    <w:qFormat/>
    <w:uiPriority w:val="0"/>
    <w:pPr>
      <w:spacing w:line="300" w:lineRule="exact"/>
    </w:pPr>
    <w:rPr>
      <w:rFonts w:ascii="Times New Roman" w:hAnsi="Times New Roman"/>
    </w:rPr>
  </w:style>
  <w:style w:type="paragraph" w:customStyle="1" w:styleId="37">
    <w:name w:val="报告书表格"/>
    <w:basedOn w:val="1"/>
    <w:qFormat/>
    <w:uiPriority w:val="0"/>
    <w:pPr>
      <w:adjustRightInd w:val="0"/>
      <w:spacing w:before="60" w:beforeLines="0" w:after="60" w:afterLines="0" w:line="240" w:lineRule="atLeast"/>
      <w:jc w:val="center"/>
      <w:textAlignment w:val="baseline"/>
    </w:pPr>
    <w:rPr>
      <w:rFonts w:eastAsia="宋体"/>
      <w:sz w:val="24"/>
      <w:lang w:val="en-US" w:eastAsia="zh-CN" w:bidi="ar-SA"/>
    </w:rPr>
  </w:style>
  <w:style w:type="paragraph" w:customStyle="1" w:styleId="38">
    <w:name w:val="表格内容"/>
    <w:basedOn w:val="39"/>
    <w:next w:val="1"/>
    <w:qFormat/>
    <w:uiPriority w:val="0"/>
  </w:style>
  <w:style w:type="paragraph" w:customStyle="1" w:styleId="39">
    <w:name w:val="表格文字"/>
    <w:basedOn w:val="9"/>
    <w:qFormat/>
    <w:uiPriority w:val="0"/>
    <w:pPr>
      <w:spacing w:line="240" w:lineRule="auto"/>
      <w:ind w:firstLine="0" w:firstLineChars="0"/>
      <w:jc w:val="center"/>
    </w:pPr>
    <w:rPr>
      <w:kern w:val="44"/>
      <w:sz w:val="21"/>
      <w:szCs w:val="24"/>
    </w:rPr>
  </w:style>
  <w:style w:type="paragraph" w:customStyle="1" w:styleId="40">
    <w:name w:val="表内文字"/>
    <w:basedOn w:val="1"/>
    <w:qFormat/>
    <w:uiPriority w:val="0"/>
    <w:pPr>
      <w:spacing w:line="240" w:lineRule="auto"/>
      <w:jc w:val="center"/>
    </w:pPr>
    <w:rPr>
      <w:rFonts w:ascii="Times New Roman" w:hAnsi="Times New Roman" w:eastAsia="宋体"/>
      <w:sz w:val="21"/>
      <w:szCs w:val="21"/>
    </w:rPr>
  </w:style>
  <w:style w:type="paragraph" w:customStyle="1" w:styleId="41">
    <w:name w:val="我的表格文字"/>
    <w:basedOn w:val="1"/>
    <w:qFormat/>
    <w:uiPriority w:val="0"/>
    <w:pPr>
      <w:widowControl/>
      <w:adjustRightInd w:val="0"/>
      <w:snapToGrid w:val="0"/>
      <w:spacing w:line="240" w:lineRule="auto"/>
      <w:ind w:firstLine="0" w:firstLineChars="0"/>
      <w:jc w:val="center"/>
      <w:textAlignment w:val="center"/>
    </w:pPr>
    <w:rPr>
      <w:color w:val="FF0000"/>
      <w:kern w:val="0"/>
      <w:szCs w:val="21"/>
    </w:rPr>
  </w:style>
  <w:style w:type="paragraph" w:customStyle="1" w:styleId="42">
    <w:name w:val="Char5"/>
    <w:basedOn w:val="1"/>
    <w:qFormat/>
    <w:uiPriority w:val="0"/>
    <w:pPr>
      <w:spacing w:line="360" w:lineRule="auto"/>
      <w:ind w:firstLine="0" w:firstLineChars="0"/>
    </w:pPr>
    <w:rPr>
      <w:rFonts w:ascii="宋体" w:hAnsi="宋体" w:cs="宋体"/>
      <w:sz w:val="21"/>
      <w:szCs w:val="24"/>
    </w:rPr>
  </w:style>
  <w:style w:type="paragraph" w:customStyle="1" w:styleId="43">
    <w:name w:val="表头"/>
    <w:basedOn w:val="1"/>
    <w:next w:val="1"/>
    <w:qFormat/>
    <w:uiPriority w:val="0"/>
    <w:pPr>
      <w:tabs>
        <w:tab w:val="left" w:pos="7380"/>
      </w:tabs>
      <w:autoSpaceDE w:val="0"/>
      <w:autoSpaceDN w:val="0"/>
      <w:adjustRightInd w:val="0"/>
      <w:snapToGrid w:val="0"/>
      <w:spacing w:before="80" w:after="80" w:line="480" w:lineRule="exact"/>
      <w:jc w:val="center"/>
      <w:outlineLvl w:val="2"/>
    </w:pPr>
    <w:rPr>
      <w:b/>
      <w:color w:val="000000"/>
      <w:kern w:val="32"/>
      <w:lang w:val="de-DE"/>
    </w:rPr>
  </w:style>
  <w:style w:type="paragraph" w:customStyle="1" w:styleId="44">
    <w:name w:val="0表-序号"/>
    <w:next w:val="1"/>
    <w:qFormat/>
    <w:uiPriority w:val="0"/>
    <w:pPr>
      <w:tabs>
        <w:tab w:val="left" w:pos="0"/>
      </w:tabs>
      <w:adjustRightInd w:val="0"/>
      <w:snapToGrid w:val="0"/>
      <w:jc w:val="center"/>
    </w:pPr>
    <w:rPr>
      <w:rFonts w:ascii="Times New Roman" w:hAnsi="Times New Roman" w:eastAsia="黑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7.jpeg"/><Relationship Id="rId31" Type="http://schemas.openxmlformats.org/officeDocument/2006/relationships/image" Target="media/image16.emf"/><Relationship Id="rId30" Type="http://schemas.openxmlformats.org/officeDocument/2006/relationships/oleObject" Target="embeddings/oleObject6.bin"/><Relationship Id="rId3" Type="http://schemas.openxmlformats.org/officeDocument/2006/relationships/footnotes" Target="footnotes.xml"/><Relationship Id="rId29" Type="http://schemas.openxmlformats.org/officeDocument/2006/relationships/image" Target="media/image15.emf"/><Relationship Id="rId28" Type="http://schemas.openxmlformats.org/officeDocument/2006/relationships/oleObject" Target="embeddings/oleObject5.bin"/><Relationship Id="rId27" Type="http://schemas.openxmlformats.org/officeDocument/2006/relationships/image" Target="media/image14.emf"/><Relationship Id="rId26" Type="http://schemas.openxmlformats.org/officeDocument/2006/relationships/oleObject" Target="embeddings/oleObject4.bin"/><Relationship Id="rId25" Type="http://schemas.openxmlformats.org/officeDocument/2006/relationships/image" Target="media/image13.emf"/><Relationship Id="rId24" Type="http://schemas.openxmlformats.org/officeDocument/2006/relationships/oleObject" Target="embeddings/oleObject3.bin"/><Relationship Id="rId23" Type="http://schemas.openxmlformats.org/officeDocument/2006/relationships/image" Target="media/image12.emf"/><Relationship Id="rId22" Type="http://schemas.openxmlformats.org/officeDocument/2006/relationships/oleObject" Target="embeddings/oleObject2.bin"/><Relationship Id="rId21" Type="http://schemas.openxmlformats.org/officeDocument/2006/relationships/image" Target="media/image11.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Info spid="_x0000_s1037"/>
    <customShpInfo spid="_x0000_s1038"/>
    <customShpInfo spid="_x0000_s1039"/>
    <customShpInfo spid="_x0000_s1040"/>
    <customShpInfo spid="_x0000_s1035" textRotate="1"/>
    <customShpInfo spid="_x0000_s103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2021-01-04T06:04:00Z</dcterms:created>
  <dc:creator>賀＆先森~</dc:creator>
  <cp:lastModifiedBy>賀＆先森~</cp:lastModifiedBy>
  <dcterms:modified xsi:type="dcterms:W3CDTF">2021-06-16T03:33:46Z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C853ABD8E7884CF7A27D29C06C616469</vt:lpwstr>
  </property>
</Properties>
</file>