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7360" w:hanging="7360" w:hangingChars="2300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               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44"/>
          <w:szCs w:val="44"/>
        </w:rPr>
        <w:t>(函)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兴政函字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                    类别：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对政协兴隆县十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届委员会第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号提案的答复函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唐卫军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仿宋" w:hAnsi="仿宋" w:eastAsia="仿宋"/>
          <w:sz w:val="32"/>
          <w:szCs w:val="32"/>
        </w:rPr>
        <w:t>关于加强兴隆县城水源地周边绿化的建议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》的提案已收悉，现答复如下：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为了改善水源地周边环境，2018年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县水务局</w:t>
      </w:r>
      <w:r>
        <w:rPr>
          <w:rFonts w:hint="eastAsia" w:ascii="仿宋" w:hAnsi="仿宋" w:eastAsia="仿宋"/>
          <w:sz w:val="32"/>
          <w:szCs w:val="32"/>
        </w:rPr>
        <w:t>根据省政府批复的兴隆县集中式饮用水源地划分技术报告的要求，对县城供水水源地进行了规范化建设，包括设置各种标识、警示牌、宣传教育及对一级保护区进行了隔离防护建设，尤其是在县政府的统一组织领导下，对转轴沟水源地一、二级保护区内三处农家院的违规建筑进行了统一拆除，为保障转轴沟水源地的供水环境起到了至关重要的作用。另外，各水源地值守人员定期对水源地周边环境进行检查，发现问题及时上报处理，包括水源地隔离围网、各种标志标识牌维护更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县水务</w:t>
      </w:r>
      <w:r>
        <w:rPr>
          <w:rFonts w:hint="eastAsia" w:ascii="仿宋" w:hAnsi="仿宋" w:eastAsia="仿宋"/>
          <w:sz w:val="32"/>
          <w:szCs w:val="32"/>
        </w:rPr>
        <w:t>局已经谋划了兴隆县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县城供水水源地生态环境综合整治工程，包括对水源地周边进行绿化、砌筑护坝等工程，现该项目已经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列入水污染防治省级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项目库，待资金到位后，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即</w:t>
      </w:r>
      <w:bookmarkStart w:id="0" w:name="_GoBack"/>
      <w:bookmarkEnd w:id="0"/>
      <w:r>
        <w:rPr>
          <w:rFonts w:hint="eastAsia" w:ascii="仿宋" w:hAnsi="仿宋" w:eastAsia="仿宋"/>
          <w:bCs/>
          <w:color w:val="000000"/>
          <w:sz w:val="32"/>
          <w:szCs w:val="32"/>
        </w:rPr>
        <w:t>可实施，</w:t>
      </w:r>
      <w:r>
        <w:rPr>
          <w:rFonts w:hint="eastAsia" w:ascii="仿宋" w:hAnsi="仿宋" w:eastAsia="仿宋"/>
          <w:sz w:val="32"/>
          <w:szCs w:val="32"/>
        </w:rPr>
        <w:t>确保水源地供水安全。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非常感谢您对我们工作的理解和支持，欢迎您继续提出宝贵意见。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二0二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九月三十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领导签发：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0314--5055043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U1YWUxNGY5NDE3YzBhYzcwZTc0MTU0MWQ4ZjcifQ=="/>
  </w:docVars>
  <w:rsids>
    <w:rsidRoot w:val="26BF5CD7"/>
    <w:rsid w:val="04051A4C"/>
    <w:rsid w:val="0D6B1A3A"/>
    <w:rsid w:val="147717C7"/>
    <w:rsid w:val="20D30EBB"/>
    <w:rsid w:val="26BF5CD7"/>
    <w:rsid w:val="2C920FA6"/>
    <w:rsid w:val="3A7D1FEA"/>
    <w:rsid w:val="418C50F7"/>
    <w:rsid w:val="422C1DE3"/>
    <w:rsid w:val="425055A2"/>
    <w:rsid w:val="4E5D7EAA"/>
    <w:rsid w:val="51BE16FD"/>
    <w:rsid w:val="6AD94F00"/>
    <w:rsid w:val="6BEC4E0C"/>
    <w:rsid w:val="6BFC4201"/>
    <w:rsid w:val="6CB74C38"/>
    <w:rsid w:val="71F2124E"/>
    <w:rsid w:val="78F758BD"/>
    <w:rsid w:val="7A2B632D"/>
    <w:rsid w:val="7AE6541D"/>
    <w:rsid w:val="7BE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485</Characters>
  <Lines>0</Lines>
  <Paragraphs>0</Paragraphs>
  <TotalTime>2</TotalTime>
  <ScaleCrop>false</ScaleCrop>
  <LinksUpToDate>false</LinksUpToDate>
  <CharactersWithSpaces>594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2022-05-24T00:50:00Z</dcterms:created>
  <dc:creator>WPS_1527850577</dc:creator>
  <cp:lastModifiedBy>WPS_1527850577</cp:lastModifiedBy>
  <cp:lastPrinted>2022-07-13T03:48:00Z</cp:lastPrinted>
  <dcterms:modified xsi:type="dcterms:W3CDTF">2022-10-18T08:17:24Z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158E2FF9B2914F96818548FD76E01C72</vt:lpwstr>
  </property>
</Properties>
</file>