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CFB73C">
      <w:pPr>
        <w:jc w:val="center"/>
        <w:rPr>
          <w:rFonts w:ascii="黑体" w:hAnsi="黑体" w:eastAsia="黑体"/>
          <w:b/>
          <w:sz w:val="32"/>
        </w:rPr>
      </w:pPr>
      <w:r>
        <w:rPr>
          <w:rFonts w:hint="eastAsia" w:ascii="黑体" w:hAnsi="黑体" w:eastAsia="黑体"/>
          <w:b/>
          <w:sz w:val="32"/>
        </w:rPr>
        <w:t>《</w:t>
      </w:r>
      <w:r>
        <w:rPr>
          <w:rFonts w:hint="eastAsia" w:ascii="黑体" w:hAnsi="黑体" w:eastAsia="黑体"/>
          <w:b/>
          <w:sz w:val="32"/>
          <w:lang w:eastAsia="zh-CN"/>
        </w:rPr>
        <w:t>兴隆县</w:t>
      </w:r>
      <w:r>
        <w:rPr>
          <w:rFonts w:hint="eastAsia" w:ascii="黑体" w:hAnsi="黑体" w:eastAsia="黑体"/>
          <w:b/>
          <w:sz w:val="32"/>
          <w:lang w:val="en-US" w:eastAsia="zh-CN"/>
        </w:rPr>
        <w:t>兴隆镇楠木沟村</w:t>
      </w:r>
      <w:r>
        <w:rPr>
          <w:rFonts w:hint="eastAsia" w:ascii="黑体" w:hAnsi="黑体" w:eastAsia="黑体"/>
          <w:b/>
          <w:sz w:val="32"/>
        </w:rPr>
        <w:t>村庄规划（</w:t>
      </w:r>
      <w:r>
        <w:rPr>
          <w:rFonts w:ascii="黑体" w:hAnsi="黑体" w:eastAsia="黑体"/>
          <w:b/>
          <w:sz w:val="32"/>
        </w:rPr>
        <w:t>2021-2035年）》公示</w:t>
      </w:r>
    </w:p>
    <w:p w14:paraId="2F2D055B">
      <w:pPr>
        <w:spacing w:line="360" w:lineRule="auto"/>
        <w:ind w:firstLine="560" w:firstLineChars="200"/>
        <w:rPr>
          <w:rFonts w:ascii="仿宋" w:hAnsi="仿宋" w:eastAsia="仿宋"/>
          <w:sz w:val="28"/>
        </w:rPr>
      </w:pPr>
      <w:r>
        <w:rPr>
          <w:rFonts w:hint="eastAsia" w:ascii="仿宋" w:hAnsi="仿宋" w:eastAsia="仿宋"/>
          <w:sz w:val="28"/>
        </w:rPr>
        <w:t>为推动乡村振兴，提高人居环境，促进产业发展，</w:t>
      </w:r>
      <w:r>
        <w:rPr>
          <w:rFonts w:hint="eastAsia" w:ascii="仿宋" w:hAnsi="仿宋" w:eastAsia="仿宋"/>
          <w:sz w:val="28"/>
          <w:lang w:eastAsia="zh-CN"/>
        </w:rPr>
        <w:t>兴隆镇</w:t>
      </w:r>
      <w:r>
        <w:rPr>
          <w:rFonts w:hint="eastAsia" w:ascii="仿宋" w:hAnsi="仿宋" w:eastAsia="仿宋"/>
          <w:sz w:val="28"/>
        </w:rPr>
        <w:t>人民政府启动《</w:t>
      </w:r>
      <w:r>
        <w:rPr>
          <w:rFonts w:hint="eastAsia" w:ascii="仿宋" w:hAnsi="仿宋" w:eastAsia="仿宋"/>
          <w:sz w:val="28"/>
          <w:lang w:eastAsia="zh-CN"/>
        </w:rPr>
        <w:t>兴隆县兴隆镇楠木沟村</w:t>
      </w:r>
      <w:r>
        <w:rPr>
          <w:rFonts w:hint="eastAsia" w:ascii="仿宋" w:hAnsi="仿宋" w:eastAsia="仿宋"/>
          <w:sz w:val="28"/>
        </w:rPr>
        <w:t>庄规划（</w:t>
      </w:r>
      <w:r>
        <w:rPr>
          <w:rFonts w:ascii="仿宋" w:hAnsi="仿宋" w:eastAsia="仿宋"/>
          <w:sz w:val="28"/>
        </w:rPr>
        <w:t>2021-2035年）</w:t>
      </w:r>
      <w:r>
        <w:rPr>
          <w:rFonts w:hint="eastAsia" w:ascii="仿宋" w:hAnsi="仿宋" w:eastAsia="仿宋"/>
          <w:sz w:val="28"/>
        </w:rPr>
        <w:t>》编制工作，为村庄开展国土空间开发和保护活动，实施国土空间用途管制、核发乡村建设项目规划许可和进行各项乡村建设活动等提供法律依据。根据国家相关法律法规、政策文件及规范标准的要求，现将《</w:t>
      </w:r>
      <w:r>
        <w:rPr>
          <w:rFonts w:hint="eastAsia" w:ascii="仿宋" w:hAnsi="仿宋" w:eastAsia="仿宋"/>
          <w:sz w:val="28"/>
          <w:lang w:eastAsia="zh-CN"/>
        </w:rPr>
        <w:t>兴隆县兴隆镇楠木沟村</w:t>
      </w:r>
      <w:r>
        <w:rPr>
          <w:rFonts w:hint="eastAsia" w:ascii="仿宋" w:hAnsi="仿宋" w:eastAsia="仿宋"/>
          <w:sz w:val="28"/>
        </w:rPr>
        <w:t>庄规划（</w:t>
      </w:r>
      <w:r>
        <w:rPr>
          <w:rFonts w:ascii="仿宋" w:hAnsi="仿宋" w:eastAsia="仿宋"/>
          <w:sz w:val="28"/>
        </w:rPr>
        <w:t>2021-2035年）》</w:t>
      </w:r>
      <w:r>
        <w:rPr>
          <w:rFonts w:hint="eastAsia" w:ascii="仿宋" w:hAnsi="仿宋" w:eastAsia="仿宋"/>
          <w:sz w:val="28"/>
        </w:rPr>
        <w:t>予以公示，征求广大居民意见，如有意见和建议请以书面形式反馈至村委会。</w:t>
      </w:r>
    </w:p>
    <w:p w14:paraId="77A3381C">
      <w:pPr>
        <w:spacing w:line="360" w:lineRule="auto"/>
        <w:ind w:firstLine="560" w:firstLineChars="200"/>
        <w:rPr>
          <w:rFonts w:hint="eastAsia" w:ascii="仿宋" w:hAnsi="仿宋" w:eastAsia="仿宋"/>
          <w:sz w:val="28"/>
          <w:lang w:eastAsia="zh-CN"/>
        </w:rPr>
      </w:pPr>
      <w:r>
        <w:rPr>
          <w:rFonts w:hint="eastAsia" w:ascii="仿宋" w:hAnsi="仿宋" w:eastAsia="仿宋"/>
          <w:sz w:val="28"/>
        </w:rPr>
        <w:t>公示时间：</w:t>
      </w:r>
      <w:r>
        <w:rPr>
          <w:rFonts w:hint="eastAsia" w:ascii="仿宋" w:hAnsi="仿宋" w:eastAsia="仿宋"/>
          <w:sz w:val="28"/>
          <w:lang w:val="en-US" w:eastAsia="zh-CN"/>
        </w:rPr>
        <w:t>2025</w:t>
      </w:r>
      <w:r>
        <w:rPr>
          <w:rFonts w:hint="eastAsia" w:ascii="仿宋" w:hAnsi="仿宋" w:eastAsia="仿宋"/>
          <w:sz w:val="28"/>
        </w:rPr>
        <w:t>年</w:t>
      </w:r>
      <w:r>
        <w:rPr>
          <w:rFonts w:hint="eastAsia" w:ascii="仿宋" w:hAnsi="仿宋" w:eastAsia="仿宋"/>
          <w:sz w:val="28"/>
          <w:lang w:val="en-US" w:eastAsia="zh-CN"/>
        </w:rPr>
        <w:t>4</w:t>
      </w:r>
      <w:r>
        <w:rPr>
          <w:rFonts w:hint="eastAsia" w:ascii="仿宋" w:hAnsi="仿宋" w:eastAsia="仿宋"/>
          <w:sz w:val="28"/>
        </w:rPr>
        <w:t>月</w:t>
      </w:r>
      <w:r>
        <w:rPr>
          <w:rFonts w:hint="eastAsia" w:ascii="仿宋" w:hAnsi="仿宋" w:eastAsia="仿宋"/>
          <w:sz w:val="28"/>
          <w:lang w:val="en-US" w:eastAsia="zh-CN"/>
        </w:rPr>
        <w:t>1</w:t>
      </w:r>
      <w:r>
        <w:rPr>
          <w:rFonts w:hint="eastAsia" w:ascii="仿宋" w:hAnsi="仿宋" w:eastAsia="仿宋"/>
          <w:sz w:val="28"/>
        </w:rPr>
        <w:t>日至</w:t>
      </w:r>
      <w:r>
        <w:rPr>
          <w:rFonts w:hint="eastAsia" w:ascii="仿宋" w:hAnsi="仿宋" w:eastAsia="仿宋"/>
          <w:sz w:val="28"/>
          <w:lang w:val="en-US" w:eastAsia="zh-CN"/>
        </w:rPr>
        <w:t>5</w:t>
      </w:r>
      <w:r>
        <w:rPr>
          <w:rFonts w:hint="eastAsia" w:ascii="仿宋" w:hAnsi="仿宋" w:eastAsia="仿宋"/>
          <w:sz w:val="28"/>
        </w:rPr>
        <w:t>月</w:t>
      </w:r>
      <w:r>
        <w:rPr>
          <w:rFonts w:hint="eastAsia" w:ascii="仿宋" w:hAnsi="仿宋" w:eastAsia="仿宋"/>
          <w:sz w:val="28"/>
          <w:lang w:val="en-US" w:eastAsia="zh-CN"/>
        </w:rPr>
        <w:t>1</w:t>
      </w:r>
      <w:r>
        <w:rPr>
          <w:rFonts w:hint="eastAsia" w:ascii="仿宋" w:hAnsi="仿宋" w:eastAsia="仿宋"/>
          <w:sz w:val="28"/>
        </w:rPr>
        <w:t>日</w:t>
      </w:r>
      <w:r>
        <w:rPr>
          <w:rFonts w:hint="eastAsia" w:ascii="仿宋" w:hAnsi="仿宋" w:eastAsia="仿宋"/>
          <w:sz w:val="28"/>
          <w:lang w:eastAsia="zh-CN"/>
        </w:rPr>
        <w:t>。</w:t>
      </w:r>
    </w:p>
    <w:p w14:paraId="711BE473">
      <w:pPr>
        <w:spacing w:line="360" w:lineRule="auto"/>
        <w:ind w:firstLine="562" w:firstLineChars="200"/>
        <w:rPr>
          <w:rFonts w:ascii="仿宋" w:hAnsi="仿宋" w:eastAsia="仿宋"/>
          <w:b/>
          <w:sz w:val="28"/>
        </w:rPr>
      </w:pPr>
      <w:r>
        <w:rPr>
          <w:rFonts w:hint="eastAsia" w:ascii="仿宋" w:hAnsi="仿宋" w:eastAsia="仿宋"/>
          <w:b/>
          <w:sz w:val="28"/>
        </w:rPr>
        <w:t>一、功能定位</w:t>
      </w:r>
    </w:p>
    <w:p w14:paraId="31C275F9">
      <w:pPr>
        <w:spacing w:line="360" w:lineRule="auto"/>
        <w:ind w:firstLine="560" w:firstLineChars="200"/>
        <w:rPr>
          <w:rFonts w:hint="eastAsia" w:ascii="仿宋" w:hAnsi="仿宋" w:eastAsia="仿宋"/>
          <w:sz w:val="28"/>
          <w:lang w:eastAsia="zh-CN"/>
        </w:rPr>
      </w:pPr>
      <w:r>
        <w:rPr>
          <w:rFonts w:hint="eastAsia" w:ascii="仿宋" w:hAnsi="仿宋" w:eastAsia="仿宋"/>
          <w:sz w:val="28"/>
        </w:rPr>
        <w:t>确定</w:t>
      </w:r>
      <w:r>
        <w:rPr>
          <w:rFonts w:hint="eastAsia" w:ascii="仿宋" w:hAnsi="仿宋" w:eastAsia="仿宋"/>
          <w:sz w:val="28"/>
          <w:lang w:eastAsia="zh-CN"/>
        </w:rPr>
        <w:t>楠木沟村</w:t>
      </w:r>
      <w:r>
        <w:rPr>
          <w:rFonts w:hint="eastAsia" w:ascii="仿宋" w:hAnsi="仿宋" w:eastAsia="仿宋"/>
          <w:sz w:val="28"/>
        </w:rPr>
        <w:t>庄等级为基层村，村庄类型为集聚提升类村庄，村庄规模为</w:t>
      </w:r>
      <w:r>
        <w:rPr>
          <w:rFonts w:hint="eastAsia" w:ascii="仿宋" w:hAnsi="仿宋" w:eastAsia="仿宋"/>
          <w:sz w:val="28"/>
          <w:lang w:val="en-US" w:eastAsia="zh-CN"/>
        </w:rPr>
        <w:t>中型</w:t>
      </w:r>
      <w:r>
        <w:rPr>
          <w:rFonts w:hint="eastAsia" w:ascii="仿宋" w:hAnsi="仿宋" w:eastAsia="仿宋"/>
          <w:sz w:val="28"/>
        </w:rPr>
        <w:t>村庄，</w:t>
      </w:r>
      <w:r>
        <w:rPr>
          <w:rFonts w:hint="eastAsia" w:ascii="仿宋" w:hAnsi="仿宋" w:eastAsia="仿宋"/>
          <w:sz w:val="28"/>
          <w:lang w:eastAsia="zh-CN"/>
        </w:rPr>
        <w:t>功能定位为“</w:t>
      </w:r>
      <w:r>
        <w:rPr>
          <w:rFonts w:hint="eastAsia" w:ascii="仿宋" w:hAnsi="仿宋" w:eastAsia="仿宋"/>
          <w:sz w:val="28"/>
          <w:lang w:val="en-US" w:eastAsia="zh-CN"/>
        </w:rPr>
        <w:t>现代农业，循环经济示范村，魅力宜居农家园</w:t>
      </w:r>
      <w:r>
        <w:rPr>
          <w:rFonts w:hint="eastAsia" w:ascii="仿宋" w:hAnsi="仿宋" w:eastAsia="仿宋"/>
          <w:sz w:val="28"/>
          <w:lang w:eastAsia="zh-CN"/>
        </w:rPr>
        <w:t>”。</w:t>
      </w:r>
    </w:p>
    <w:p w14:paraId="595B9283">
      <w:pPr>
        <w:spacing w:line="360" w:lineRule="auto"/>
        <w:ind w:firstLine="562" w:firstLineChars="200"/>
        <w:rPr>
          <w:rFonts w:ascii="仿宋" w:hAnsi="仿宋" w:eastAsia="仿宋"/>
          <w:b/>
          <w:sz w:val="28"/>
        </w:rPr>
      </w:pPr>
      <w:r>
        <w:rPr>
          <w:rFonts w:hint="eastAsia" w:ascii="仿宋" w:hAnsi="仿宋" w:eastAsia="仿宋"/>
          <w:b/>
          <w:sz w:val="28"/>
        </w:rPr>
        <w:t>二、国土空间布局</w:t>
      </w:r>
    </w:p>
    <w:p w14:paraId="484ECFDA">
      <w:pPr>
        <w:spacing w:line="360" w:lineRule="auto"/>
        <w:ind w:firstLine="560" w:firstLineChars="200"/>
        <w:rPr>
          <w:rFonts w:hint="eastAsia" w:ascii="仿宋" w:hAnsi="仿宋" w:eastAsia="仿宋"/>
          <w:sz w:val="28"/>
        </w:rPr>
      </w:pPr>
      <w:r>
        <w:rPr>
          <w:rFonts w:ascii="仿宋" w:hAnsi="仿宋" w:eastAsia="仿宋"/>
          <w:sz w:val="28"/>
        </w:rPr>
        <w:t>农业空间和永久基本农田</w:t>
      </w:r>
      <w:r>
        <w:rPr>
          <w:rFonts w:hint="eastAsia" w:ascii="仿宋" w:hAnsi="仿宋" w:eastAsia="仿宋"/>
          <w:sz w:val="28"/>
        </w:rPr>
        <w:t>。严格落实上位规划确定的永久基本农田保护任务，</w:t>
      </w:r>
      <w:r>
        <w:rPr>
          <w:rFonts w:ascii="仿宋" w:hAnsi="仿宋" w:eastAsia="仿宋"/>
          <w:sz w:val="28"/>
        </w:rPr>
        <w:t>面积</w:t>
      </w:r>
      <w:r>
        <w:rPr>
          <w:rFonts w:hint="eastAsia" w:ascii="仿宋" w:hAnsi="仿宋" w:eastAsia="仿宋"/>
          <w:sz w:val="28"/>
        </w:rPr>
        <w:t>不低于</w:t>
      </w:r>
      <w:r>
        <w:rPr>
          <w:rFonts w:hint="eastAsia" w:ascii="仿宋" w:hAnsi="仿宋" w:eastAsia="仿宋"/>
          <w:sz w:val="28"/>
          <w:lang w:val="en-US" w:eastAsia="zh-CN"/>
        </w:rPr>
        <w:t>636.99</w:t>
      </w:r>
      <w:r>
        <w:rPr>
          <w:rFonts w:hint="eastAsia" w:ascii="仿宋" w:hAnsi="仿宋" w:eastAsia="仿宋"/>
          <w:sz w:val="28"/>
        </w:rPr>
        <w:t>亩，加强耕地和永久基本农田用途管制，严控一般耕地转为非耕地，坚决遏制耕地“非农化”，防止“非粮化”。</w:t>
      </w:r>
    </w:p>
    <w:p w14:paraId="4C3B72E5">
      <w:pPr>
        <w:spacing w:line="360" w:lineRule="auto"/>
        <w:ind w:firstLine="560" w:firstLineChars="200"/>
        <w:rPr>
          <w:rFonts w:ascii="仿宋" w:hAnsi="仿宋" w:eastAsia="仿宋"/>
          <w:sz w:val="28"/>
        </w:rPr>
      </w:pPr>
      <w:r>
        <w:rPr>
          <w:rFonts w:hint="eastAsia" w:ascii="仿宋" w:hAnsi="仿宋" w:eastAsia="仿宋"/>
          <w:sz w:val="28"/>
        </w:rPr>
        <w:t>生态空间和生态保护红线。加强保护村庄饮用水源，严格控制水源周边农村生产、生活产生的污染，水井周围</w:t>
      </w:r>
      <w:r>
        <w:rPr>
          <w:rFonts w:ascii="仿宋" w:hAnsi="仿宋" w:eastAsia="仿宋"/>
          <w:sz w:val="28"/>
        </w:rPr>
        <w:t>30</w:t>
      </w:r>
      <w:r>
        <w:rPr>
          <w:rFonts w:hint="eastAsia" w:ascii="仿宋" w:hAnsi="仿宋" w:eastAsia="仿宋"/>
          <w:sz w:val="28"/>
          <w:lang w:val="en-US" w:eastAsia="zh-CN"/>
        </w:rPr>
        <w:t>米</w:t>
      </w:r>
      <w:r>
        <w:rPr>
          <w:rFonts w:ascii="仿宋" w:hAnsi="仿宋" w:eastAsia="仿宋"/>
          <w:sz w:val="28"/>
        </w:rPr>
        <w:t>的范围内不得</w:t>
      </w:r>
      <w:bookmarkStart w:id="0" w:name="_GoBack"/>
      <w:bookmarkEnd w:id="0"/>
      <w:r>
        <w:rPr>
          <w:rFonts w:ascii="仿宋" w:hAnsi="仿宋" w:eastAsia="仿宋"/>
          <w:sz w:val="28"/>
        </w:rPr>
        <w:t>设置渗水厕所</w:t>
      </w:r>
      <w:r>
        <w:rPr>
          <w:rFonts w:hint="eastAsia" w:ascii="仿宋" w:hAnsi="仿宋" w:eastAsia="仿宋"/>
          <w:sz w:val="28"/>
        </w:rPr>
        <w:t>等</w:t>
      </w:r>
      <w:r>
        <w:rPr>
          <w:rFonts w:ascii="仿宋" w:hAnsi="仿宋" w:eastAsia="仿宋"/>
          <w:sz w:val="28"/>
        </w:rPr>
        <w:t>。加强生物多样性保护，加强重点物种监测地保护，加强森林系统恢复，促进森林生态系统持续向好发展。</w:t>
      </w:r>
    </w:p>
    <w:p w14:paraId="31E3090B">
      <w:pPr>
        <w:spacing w:line="360" w:lineRule="auto"/>
        <w:ind w:firstLine="560" w:firstLineChars="200"/>
        <w:rPr>
          <w:rFonts w:ascii="仿宋" w:hAnsi="仿宋" w:eastAsia="仿宋"/>
          <w:sz w:val="28"/>
        </w:rPr>
      </w:pPr>
      <w:r>
        <w:rPr>
          <w:rFonts w:hint="eastAsia" w:ascii="仿宋" w:hAnsi="仿宋" w:eastAsia="仿宋"/>
          <w:sz w:val="28"/>
        </w:rPr>
        <w:t>建设空间和村庄建设边界。落实上位规划确定的村庄建设边界，统筹优化村庄建设用地布局，合理控制村庄建设用地规模，统筹保障乡村产业发展空间，落实“增存挂钩”机制，加快批而未供、闲置土地等存量资源的盘活利用。</w:t>
      </w:r>
    </w:p>
    <w:p w14:paraId="556170DE">
      <w:pPr>
        <w:spacing w:line="360" w:lineRule="auto"/>
        <w:ind w:firstLine="560" w:firstLineChars="200"/>
        <w:rPr>
          <w:rFonts w:hint="eastAsia" w:ascii="仿宋" w:hAnsi="仿宋" w:eastAsia="仿宋"/>
          <w:sz w:val="28"/>
        </w:rPr>
      </w:pPr>
      <w:r>
        <w:rPr>
          <w:rFonts w:hint="eastAsia" w:ascii="仿宋" w:hAnsi="仿宋" w:eastAsia="仿宋"/>
          <w:sz w:val="28"/>
        </w:rPr>
        <w:t>土地整治与生态修复。以乡村振兴为目标，结合村庄国土空间布局，推进农用地综合整治，推进村庄工矿复垦、低效工业用地、闲置宅基地等整治工作。加强</w:t>
      </w:r>
      <w:r>
        <w:rPr>
          <w:rFonts w:hint="eastAsia" w:ascii="仿宋" w:hAnsi="仿宋" w:eastAsia="仿宋"/>
          <w:sz w:val="28"/>
          <w:lang w:val="en-US" w:eastAsia="zh-CN"/>
        </w:rPr>
        <w:t>柳河</w:t>
      </w:r>
      <w:r>
        <w:rPr>
          <w:rFonts w:hint="eastAsia" w:ascii="仿宋" w:hAnsi="仿宋" w:eastAsia="仿宋"/>
          <w:sz w:val="28"/>
        </w:rPr>
        <w:t>水环境治理，加强水生态廊道的恢复与修复，推动绿色矿山建设，规范全域矿山企业达到绿色矿山建设要求和标准。</w:t>
      </w:r>
    </w:p>
    <w:p w14:paraId="7B3EE687">
      <w:pPr>
        <w:spacing w:line="360" w:lineRule="auto"/>
        <w:ind w:firstLine="562" w:firstLineChars="200"/>
        <w:rPr>
          <w:rFonts w:ascii="仿宋" w:hAnsi="仿宋" w:eastAsia="仿宋"/>
          <w:sz w:val="28"/>
        </w:rPr>
      </w:pPr>
      <w:r>
        <w:rPr>
          <w:rFonts w:hint="eastAsia" w:ascii="仿宋" w:hAnsi="仿宋" w:eastAsia="仿宋"/>
          <w:b/>
          <w:sz w:val="28"/>
        </w:rPr>
        <w:t>三、公共服务设施</w:t>
      </w:r>
    </w:p>
    <w:p w14:paraId="4BA842A9">
      <w:pPr>
        <w:spacing w:line="360" w:lineRule="auto"/>
        <w:ind w:firstLine="560" w:firstLineChars="200"/>
        <w:rPr>
          <w:rFonts w:ascii="仿宋" w:hAnsi="仿宋" w:eastAsia="仿宋"/>
          <w:sz w:val="28"/>
        </w:rPr>
      </w:pPr>
      <w:r>
        <w:rPr>
          <w:rFonts w:hint="eastAsia" w:ascii="仿宋" w:hAnsi="仿宋" w:eastAsia="仿宋"/>
          <w:sz w:val="28"/>
        </w:rPr>
        <w:t>依据《河北省城乡公共服务设施配置和建设导则》《村庄规划技术规范》等相关规范，合理布局文化体育、体育健身、医疗卫生、福利养老等各类公共服务设施。</w:t>
      </w:r>
    </w:p>
    <w:p w14:paraId="53BA5F7D">
      <w:pPr>
        <w:spacing w:line="360" w:lineRule="auto"/>
        <w:ind w:firstLine="562" w:firstLineChars="200"/>
        <w:rPr>
          <w:rFonts w:ascii="仿宋" w:hAnsi="仿宋" w:eastAsia="仿宋"/>
          <w:sz w:val="28"/>
        </w:rPr>
      </w:pPr>
      <w:r>
        <w:rPr>
          <w:rFonts w:hint="eastAsia" w:ascii="仿宋" w:hAnsi="仿宋" w:eastAsia="仿宋"/>
          <w:b/>
          <w:sz w:val="28"/>
        </w:rPr>
        <w:t>四、道路和公用设施</w:t>
      </w:r>
    </w:p>
    <w:p w14:paraId="117DBA69">
      <w:pPr>
        <w:spacing w:line="360" w:lineRule="auto"/>
        <w:ind w:firstLine="560" w:firstLineChars="200"/>
        <w:rPr>
          <w:rFonts w:hint="eastAsia" w:ascii="仿宋" w:hAnsi="仿宋" w:eastAsia="仿宋"/>
          <w:sz w:val="28"/>
        </w:rPr>
      </w:pPr>
      <w:r>
        <w:rPr>
          <w:rFonts w:hint="eastAsia" w:ascii="仿宋" w:hAnsi="仿宋" w:eastAsia="仿宋"/>
          <w:sz w:val="28"/>
        </w:rPr>
        <w:t>保留</w:t>
      </w:r>
      <w:r>
        <w:rPr>
          <w:rFonts w:hint="eastAsia" w:ascii="仿宋" w:hAnsi="仿宋" w:eastAsia="仿宋"/>
          <w:sz w:val="28"/>
          <w:lang w:val="en-US" w:eastAsia="zh-CN"/>
        </w:rPr>
        <w:t>现状</w:t>
      </w:r>
      <w:r>
        <w:rPr>
          <w:rFonts w:hint="eastAsia" w:ascii="仿宋" w:hAnsi="仿宋" w:eastAsia="仿宋"/>
          <w:sz w:val="28"/>
        </w:rPr>
        <w:t>村村通公路，公路建筑控制区的范围从公路用地外缘起向外的距离标准为村村通公路不少于5米。</w:t>
      </w:r>
    </w:p>
    <w:p w14:paraId="63E2454E">
      <w:pPr>
        <w:spacing w:line="360" w:lineRule="auto"/>
        <w:ind w:firstLine="560" w:firstLineChars="200"/>
        <w:rPr>
          <w:rFonts w:hint="eastAsia" w:ascii="仿宋" w:hAnsi="仿宋" w:eastAsia="仿宋"/>
          <w:sz w:val="28"/>
        </w:rPr>
      </w:pPr>
      <w:r>
        <w:rPr>
          <w:rFonts w:hint="eastAsia" w:ascii="仿宋" w:hAnsi="仿宋" w:eastAsia="仿宋"/>
          <w:sz w:val="28"/>
        </w:rPr>
        <w:t>规划以自然村为供水单元实施集中供水，采用庭院式一体化污水处理系统，以灌装液化气作为村庄主要气源；结合农村电网升级改造工程推动电采暖+洁净煤采暖；完善全村庄电力设施，完善垃圾收集设施，推进村庄户厕改造全覆盖。</w:t>
      </w:r>
    </w:p>
    <w:p w14:paraId="1AC2BCB0">
      <w:pPr>
        <w:spacing w:line="360" w:lineRule="auto"/>
        <w:ind w:firstLine="562" w:firstLineChars="200"/>
        <w:rPr>
          <w:rFonts w:ascii="仿宋" w:hAnsi="仿宋" w:eastAsia="仿宋"/>
          <w:b/>
          <w:sz w:val="28"/>
        </w:rPr>
      </w:pPr>
      <w:r>
        <w:rPr>
          <w:rFonts w:hint="eastAsia" w:ascii="仿宋" w:hAnsi="仿宋" w:eastAsia="仿宋"/>
          <w:b/>
          <w:sz w:val="28"/>
        </w:rPr>
        <w:t>五、安全防灾</w:t>
      </w:r>
    </w:p>
    <w:p w14:paraId="5F06AC8A">
      <w:pPr>
        <w:spacing w:line="360" w:lineRule="auto"/>
        <w:ind w:firstLine="560" w:firstLineChars="200"/>
        <w:rPr>
          <w:rFonts w:hint="eastAsia" w:ascii="仿宋" w:hAnsi="仿宋" w:eastAsia="仿宋"/>
          <w:sz w:val="28"/>
        </w:rPr>
      </w:pPr>
      <w:r>
        <w:rPr>
          <w:rFonts w:hint="eastAsia" w:ascii="仿宋" w:hAnsi="仿宋" w:eastAsia="仿宋"/>
          <w:sz w:val="28"/>
        </w:rPr>
        <w:t>确定村庄防洪标准按照不低于10年一遇进行设防，</w:t>
      </w:r>
      <w:r>
        <w:rPr>
          <w:rFonts w:hint="eastAsia" w:ascii="仿宋" w:hAnsi="仿宋" w:eastAsia="仿宋"/>
          <w:sz w:val="28"/>
          <w:lang w:eastAsia="zh-CN"/>
        </w:rPr>
        <w:t>楠木沟</w:t>
      </w:r>
      <w:r>
        <w:rPr>
          <w:rFonts w:hint="eastAsia" w:ascii="仿宋" w:hAnsi="仿宋" w:eastAsia="仿宋"/>
          <w:sz w:val="28"/>
        </w:rPr>
        <w:t>按照地震基本烈度Ⅶ度设防，规划建设村庄志愿消防队，提升村庄消防安全。</w:t>
      </w:r>
    </w:p>
    <w:p w14:paraId="7832588C">
      <w:pPr>
        <w:spacing w:line="360" w:lineRule="auto"/>
        <w:ind w:firstLine="562" w:firstLineChars="200"/>
        <w:rPr>
          <w:rFonts w:ascii="仿宋" w:hAnsi="仿宋" w:eastAsia="仿宋"/>
          <w:b/>
          <w:sz w:val="28"/>
        </w:rPr>
      </w:pPr>
      <w:r>
        <w:rPr>
          <w:rFonts w:hint="eastAsia" w:ascii="仿宋" w:hAnsi="仿宋" w:eastAsia="仿宋"/>
          <w:b/>
          <w:sz w:val="28"/>
        </w:rPr>
        <w:t>六、绿地景观风貌</w:t>
      </w:r>
    </w:p>
    <w:p w14:paraId="3BB462FF">
      <w:pPr>
        <w:spacing w:line="360" w:lineRule="auto"/>
        <w:ind w:firstLine="560" w:firstLineChars="200"/>
        <w:jc w:val="left"/>
        <w:rPr>
          <w:rFonts w:ascii="仿宋" w:hAnsi="仿宋" w:eastAsia="仿宋"/>
          <w:sz w:val="28"/>
        </w:rPr>
        <w:sectPr>
          <w:pgSz w:w="23811" w:h="16838" w:orient="landscape"/>
          <w:pgMar w:top="1800" w:right="1440" w:bottom="1800" w:left="1440" w:header="851" w:footer="992" w:gutter="0"/>
          <w:cols w:space="425" w:num="2"/>
          <w:docGrid w:type="lines" w:linePitch="312" w:charSpace="0"/>
        </w:sectPr>
      </w:pPr>
      <w:r>
        <w:rPr>
          <w:rFonts w:hint="eastAsia" w:ascii="仿宋" w:hAnsi="仿宋" w:eastAsia="仿宋"/>
          <w:sz w:val="28"/>
        </w:rPr>
        <w:t>充分利用村庄自然水系、山体，结合村庄现状人居环境，在保持生态环境可持续发展的同时，提升村庄景观风貌。</w:t>
      </w:r>
    </w:p>
    <w:p w14:paraId="22888433">
      <w:pPr>
        <w:jc w:val="center"/>
        <w:rPr>
          <w:rFonts w:hint="eastAsia" w:ascii="仿宋" w:hAnsi="仿宋" w:eastAsia="仿宋"/>
          <w:sz w:val="28"/>
          <w:lang w:eastAsia="zh-CN"/>
        </w:rPr>
      </w:pPr>
      <w:r>
        <w:rPr>
          <w:rFonts w:hint="eastAsia" w:ascii="仿宋" w:hAnsi="仿宋" w:eastAsia="仿宋"/>
          <w:sz w:val="28"/>
          <w:lang w:eastAsia="zh-CN"/>
        </w:rPr>
        <w:drawing>
          <wp:inline distT="0" distB="0" distL="114300" distR="114300">
            <wp:extent cx="11884660" cy="8402955"/>
            <wp:effectExtent l="9525" t="9525" r="12065" b="26670"/>
            <wp:docPr id="3" name="图片 3" descr="ae9417be07ce93980c68f4a5a71e9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e9417be07ce93980c68f4a5a71e9b2"/>
                    <pic:cNvPicPr>
                      <a:picLocks noChangeAspect="1"/>
                    </pic:cNvPicPr>
                  </pic:nvPicPr>
                  <pic:blipFill>
                    <a:blip r:embed="rId4"/>
                    <a:stretch>
                      <a:fillRect/>
                    </a:stretch>
                  </pic:blipFill>
                  <pic:spPr>
                    <a:xfrm>
                      <a:off x="0" y="0"/>
                      <a:ext cx="11884660" cy="8402955"/>
                    </a:xfrm>
                    <a:prstGeom prst="rect">
                      <a:avLst/>
                    </a:prstGeom>
                    <a:ln>
                      <a:solidFill>
                        <a:schemeClr val="bg1">
                          <a:lumMod val="50000"/>
                        </a:schemeClr>
                      </a:solidFill>
                    </a:ln>
                  </pic:spPr>
                </pic:pic>
              </a:graphicData>
            </a:graphic>
          </wp:inline>
        </w:drawing>
      </w:r>
    </w:p>
    <w:p w14:paraId="572119FD">
      <w:pPr>
        <w:jc w:val="center"/>
        <w:rPr>
          <w:rFonts w:hint="eastAsia" w:ascii="仿宋" w:hAnsi="仿宋" w:eastAsia="仿宋"/>
          <w:sz w:val="28"/>
          <w:lang w:eastAsia="zh-CN"/>
        </w:rPr>
      </w:pPr>
      <w:r>
        <w:rPr>
          <w:rFonts w:hint="eastAsia" w:ascii="仿宋" w:hAnsi="仿宋" w:eastAsia="仿宋"/>
          <w:sz w:val="28"/>
          <w:lang w:eastAsia="zh-CN"/>
        </w:rPr>
        <w:drawing>
          <wp:inline distT="0" distB="0" distL="114300" distR="114300">
            <wp:extent cx="11884660" cy="8402955"/>
            <wp:effectExtent l="9525" t="9525" r="12065" b="26670"/>
            <wp:docPr id="1" name="图片 1" descr="f74693ab3ce002b39068abf4d27c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74693ab3ce002b39068abf4d27ce32"/>
                    <pic:cNvPicPr>
                      <a:picLocks noChangeAspect="1"/>
                    </pic:cNvPicPr>
                  </pic:nvPicPr>
                  <pic:blipFill>
                    <a:blip r:embed="rId5"/>
                    <a:stretch>
                      <a:fillRect/>
                    </a:stretch>
                  </pic:blipFill>
                  <pic:spPr>
                    <a:xfrm>
                      <a:off x="0" y="0"/>
                      <a:ext cx="11884660" cy="8402955"/>
                    </a:xfrm>
                    <a:prstGeom prst="rect">
                      <a:avLst/>
                    </a:prstGeom>
                    <a:ln>
                      <a:solidFill>
                        <a:schemeClr val="bg1">
                          <a:lumMod val="50000"/>
                        </a:schemeClr>
                      </a:solidFill>
                    </a:ln>
                  </pic:spPr>
                </pic:pic>
              </a:graphicData>
            </a:graphic>
          </wp:inline>
        </w:drawing>
      </w:r>
    </w:p>
    <w:sectPr>
      <w:pgSz w:w="23811" w:h="16838"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873"/>
    <w:rsid w:val="000C3180"/>
    <w:rsid w:val="001735DD"/>
    <w:rsid w:val="002D36C2"/>
    <w:rsid w:val="00546A30"/>
    <w:rsid w:val="005620B6"/>
    <w:rsid w:val="00570E86"/>
    <w:rsid w:val="00577C39"/>
    <w:rsid w:val="00615A75"/>
    <w:rsid w:val="00862638"/>
    <w:rsid w:val="00946B17"/>
    <w:rsid w:val="00AE39E5"/>
    <w:rsid w:val="00B71D4E"/>
    <w:rsid w:val="00BC4608"/>
    <w:rsid w:val="00C604AF"/>
    <w:rsid w:val="00DC2873"/>
    <w:rsid w:val="00F62C74"/>
    <w:rsid w:val="02F56D74"/>
    <w:rsid w:val="039D673D"/>
    <w:rsid w:val="068B1644"/>
    <w:rsid w:val="075274E5"/>
    <w:rsid w:val="082779D0"/>
    <w:rsid w:val="09F73D27"/>
    <w:rsid w:val="0B064214"/>
    <w:rsid w:val="0F555F86"/>
    <w:rsid w:val="12651008"/>
    <w:rsid w:val="12BE7183"/>
    <w:rsid w:val="13B80076"/>
    <w:rsid w:val="14CA53E1"/>
    <w:rsid w:val="1804388A"/>
    <w:rsid w:val="19546600"/>
    <w:rsid w:val="1C484ACE"/>
    <w:rsid w:val="1C881B8D"/>
    <w:rsid w:val="1D4672A6"/>
    <w:rsid w:val="1EFD5034"/>
    <w:rsid w:val="21BF5D98"/>
    <w:rsid w:val="23147314"/>
    <w:rsid w:val="238C357B"/>
    <w:rsid w:val="2C804AD7"/>
    <w:rsid w:val="2E4C168F"/>
    <w:rsid w:val="2E985741"/>
    <w:rsid w:val="2EDC5A79"/>
    <w:rsid w:val="32AE46C6"/>
    <w:rsid w:val="33E800AC"/>
    <w:rsid w:val="3916202A"/>
    <w:rsid w:val="3A4223AD"/>
    <w:rsid w:val="3EFB6EE5"/>
    <w:rsid w:val="3F8E0A56"/>
    <w:rsid w:val="40D429F8"/>
    <w:rsid w:val="433C187A"/>
    <w:rsid w:val="4AE96D2D"/>
    <w:rsid w:val="4D426A4E"/>
    <w:rsid w:val="5B612747"/>
    <w:rsid w:val="5C766531"/>
    <w:rsid w:val="60DC2F78"/>
    <w:rsid w:val="615362B5"/>
    <w:rsid w:val="61B8769A"/>
    <w:rsid w:val="621D1385"/>
    <w:rsid w:val="66DB1226"/>
    <w:rsid w:val="67513297"/>
    <w:rsid w:val="6F31233E"/>
    <w:rsid w:val="71F75E09"/>
    <w:rsid w:val="75EF4156"/>
    <w:rsid w:val="773226E3"/>
    <w:rsid w:val="779B6C60"/>
    <w:rsid w:val="77DA2E34"/>
    <w:rsid w:val="791D3642"/>
    <w:rsid w:val="7A1C7734"/>
    <w:rsid w:val="7D926C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DC6BC7F5-1B25-4FC6-AC4D-759917A5F286}">
  <ds:schemaRefs/>
</ds:datastoreItem>
</file>

<file path=docProps/app.xml><?xml version="1.0" encoding="utf-8"?>
<Properties xmlns="http://schemas.openxmlformats.org/officeDocument/2006/extended-properties" xmlns:vt="http://schemas.openxmlformats.org/officeDocument/2006/docPropsVTypes">
  <Template>Normal</Template>
  <Pages>3</Pages>
  <Words>1094</Words>
  <Characters>1128</Characters>
  <Lines>8</Lines>
  <Paragraphs>2</Paragraphs>
  <TotalTime>1661</TotalTime>
  <ScaleCrop>false</ScaleCrop>
  <LinksUpToDate>false</LinksUpToDate>
  <CharactersWithSpaces>1128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2024-12-25T07:05:00Z</dcterms:created>
  <dc:creator>Administrator</dc:creator>
  <cp:lastModifiedBy>初九</cp:lastModifiedBy>
  <dcterms:modified xsi:type="dcterms:W3CDTF">2025-04-22T01:30:17Z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B52F68E8F2D443AEB57CBC4AD0279F28_13</vt:lpwstr>
  </property>
  <property fmtid="{D5CDD505-2E9C-101B-9397-08002B2CF9AE}" pid="4" name="KSOTemplateDocerSaveRecord">
    <vt:lpwstr>eyJoZGlkIjoiZmRjNTIxNmUxNDNiYjQ4ZGQ1YzRiMDNiYzJhOWI5YjYiLCJ1c2VySWQiOiI0MTkxMDc5NDEifQ==</vt:lpwstr>
  </property>
</Properties>
</file>