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21" w:leftChars="-153" w:right="-191" w:rightChars="-91" w:hanging="100" w:hangingChars="17"/>
        <w:jc w:val="center"/>
        <w:rPr>
          <w:rFonts w:ascii="宋体" w:hAnsi="新宋体"/>
          <w:b/>
          <w:bCs/>
          <w:spacing w:val="-20"/>
          <w:w w:val="61"/>
          <w:sz w:val="102"/>
          <w:szCs w:val="102"/>
        </w:rPr>
      </w:pPr>
      <w:r>
        <w:rPr>
          <w:rFonts w:hint="eastAsia" w:ascii="宋体" w:hAnsi="新宋体" w:cs="宋体"/>
          <w:b/>
          <w:bCs/>
          <w:color w:val="FF0000"/>
          <w:spacing w:val="-20"/>
          <w:w w:val="61"/>
          <w:sz w:val="102"/>
          <w:szCs w:val="102"/>
        </w:rPr>
        <w:t>承德市生态环境局兴隆县分局文件</w:t>
      </w:r>
    </w:p>
    <w:p>
      <w:pPr>
        <w:spacing w:line="240" w:lineRule="exact"/>
        <w:ind w:firstLine="2850" w:firstLineChars="950"/>
        <w:rPr>
          <w:rFonts w:ascii="仿宋_GB2312" w:eastAsia="仿宋_GB2312"/>
          <w:sz w:val="30"/>
          <w:szCs w:val="30"/>
        </w:rPr>
      </w:pPr>
    </w:p>
    <w:p>
      <w:pPr>
        <w:jc w:val="center"/>
        <w:rPr>
          <w:rFonts w:ascii="仿宋_GB2312" w:eastAsia="仿宋_GB2312"/>
          <w:color w:val="auto"/>
          <w:sz w:val="32"/>
          <w:szCs w:val="32"/>
        </w:rPr>
      </w:pPr>
      <w:bookmarkStart w:id="0" w:name="ZiHao2"/>
      <w:bookmarkEnd w:id="0"/>
      <w:r>
        <w:rPr>
          <w:sz w:val="21"/>
        </w:rPr>
        <mc:AlternateContent>
          <mc:Choice Requires="wpg">
            <w:drawing>
              <wp:anchor distT="0" distB="0" distL="114300" distR="114300" simplePos="0" relativeHeight="251659264" behindDoc="0" locked="0" layoutInCell="1" allowOverlap="1">
                <wp:simplePos x="0" y="0"/>
                <wp:positionH relativeFrom="column">
                  <wp:posOffset>-27940</wp:posOffset>
                </wp:positionH>
                <wp:positionV relativeFrom="paragraph">
                  <wp:posOffset>342900</wp:posOffset>
                </wp:positionV>
                <wp:extent cx="5600700" cy="297180"/>
                <wp:effectExtent l="0" t="0" r="0" b="7620"/>
                <wp:wrapNone/>
                <wp:docPr id="5" name="组合 5"/>
                <wp:cNvGraphicFramePr/>
                <a:graphic xmlns:a="http://schemas.openxmlformats.org/drawingml/2006/main">
                  <a:graphicData uri="http://schemas.microsoft.com/office/word/2010/wordprocessingGroup">
                    <wpg:wgp>
                      <wpg:cNvGrpSpPr/>
                      <wpg:grpSpPr>
                        <a:xfrm>
                          <a:off x="0" y="0"/>
                          <a:ext cx="5600700" cy="297180"/>
                          <a:chOff x="3032" y="4721"/>
                          <a:chExt cx="8820" cy="468"/>
                        </a:xfrm>
                      </wpg:grpSpPr>
                      <wps:wsp>
                        <wps:cNvPr id="3" name="直接连接符 3"/>
                        <wps:cNvCnPr/>
                        <wps:spPr>
                          <a:xfrm>
                            <a:off x="3032" y="5033"/>
                            <a:ext cx="3960" cy="0"/>
                          </a:xfrm>
                          <a:prstGeom prst="line">
                            <a:avLst/>
                          </a:prstGeom>
                          <a:ln w="38100" cap="flat" cmpd="sng">
                            <a:solidFill>
                              <a:srgbClr val="FF0000"/>
                            </a:solidFill>
                            <a:prstDash val="solid"/>
                            <a:headEnd type="none" w="med" len="med"/>
                            <a:tailEnd type="none" w="med" len="med"/>
                          </a:ln>
                        </wps:spPr>
                        <wps:bodyPr upright="1"/>
                      </wps:wsp>
                      <wps:wsp>
                        <wps:cNvPr id="4" name="直接连接符 4"/>
                        <wps:cNvCnPr/>
                        <wps:spPr>
                          <a:xfrm>
                            <a:off x="7892" y="5033"/>
                            <a:ext cx="3960" cy="0"/>
                          </a:xfrm>
                          <a:prstGeom prst="line">
                            <a:avLst/>
                          </a:prstGeom>
                          <a:ln w="38100" cap="flat" cmpd="sng">
                            <a:solidFill>
                              <a:srgbClr val="FF0000"/>
                            </a:solidFill>
                            <a:prstDash val="solid"/>
                            <a:headEnd type="none" w="med" len="med"/>
                            <a:tailEnd type="none" w="med" len="med"/>
                          </a:ln>
                        </wps:spPr>
                        <wps:bodyPr upright="1"/>
                      </wps:wsp>
                      <wps:wsp>
                        <wps:cNvPr id="2" name="任意多边形 2"/>
                        <wps:cNvSpPr/>
                        <wps:spPr>
                          <a:xfrm>
                            <a:off x="7172" y="4721"/>
                            <a:ext cx="540" cy="468"/>
                          </a:xfrm>
                          <a:custGeom>
                            <a:avLst/>
                            <a:gdLst/>
                            <a:ahLst/>
                            <a:cxnLst>
                              <a:cxn ang="16187392">
                                <a:pos x="171450" y="0"/>
                              </a:cxn>
                              <a:cxn ang="10747904">
                                <a:pos x="0" y="113512"/>
                              </a:cxn>
                              <a:cxn ang="5373952">
                                <a:pos x="65488" y="297179"/>
                              </a:cxn>
                              <a:cxn ang="5373952">
                                <a:pos x="277411" y="297179"/>
                              </a:cxn>
                              <a:cxn ang="0">
                                <a:pos x="342899" y="113512"/>
                              </a:cxn>
                            </a:cxnLst>
                            <a:pathLst>
                              <a:path w="342900" h="297180">
                                <a:moveTo>
                                  <a:pt x="0" y="113512"/>
                                </a:moveTo>
                                <a:lnTo>
                                  <a:pt x="130976" y="113513"/>
                                </a:lnTo>
                                <a:lnTo>
                                  <a:pt x="171450" y="0"/>
                                </a:lnTo>
                                <a:lnTo>
                                  <a:pt x="211923" y="113513"/>
                                </a:lnTo>
                                <a:lnTo>
                                  <a:pt x="342899" y="113512"/>
                                </a:lnTo>
                                <a:lnTo>
                                  <a:pt x="236936" y="183666"/>
                                </a:lnTo>
                                <a:lnTo>
                                  <a:pt x="277411" y="297179"/>
                                </a:lnTo>
                                <a:lnTo>
                                  <a:pt x="171450" y="227023"/>
                                </a:lnTo>
                                <a:lnTo>
                                  <a:pt x="65488" y="297179"/>
                                </a:lnTo>
                                <a:lnTo>
                                  <a:pt x="105963" y="183666"/>
                                </a:lnTo>
                                <a:close/>
                              </a:path>
                            </a:pathLst>
                          </a:custGeom>
                          <a:pattFill prst="horz">
                            <a:fgClr>
                              <a:srgbClr val="FF0000">
                                <a:alpha val="78000"/>
                              </a:srgbClr>
                            </a:fgClr>
                            <a:bgClr>
                              <a:srgbClr val="FF0000">
                                <a:alpha val="78000"/>
                              </a:srgbClr>
                            </a:bgClr>
                          </a:pattFill>
                          <a:ln>
                            <a:noFill/>
                          </a:ln>
                        </wps:spPr>
                        <wps:bodyPr upright="1"/>
                      </wps:wsp>
                    </wpg:wgp>
                  </a:graphicData>
                </a:graphic>
              </wp:anchor>
            </w:drawing>
          </mc:Choice>
          <mc:Fallback>
            <w:pict>
              <v:group id="_x0000_s1026" o:spid="_x0000_s1026" o:spt="203" style="position:absolute;left:0pt;margin-left:-2.2pt;margin-top:27pt;height:23.4pt;width:441pt;z-index:251659264;mso-width-relative:page;mso-height-relative:page;" coordorigin="3032,4721" coordsize="8820,468" o:gfxdata="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">
                <o:lock v:ext="edit" aspectratio="f"/>
                <v:line id="_x0000_s1026" o:spid="_x0000_s1026" o:spt="20" style="position:absolute;left:3032;top:5033;height:0;width:3960;" filled="f" stroked="t" coordsize="21600,21600" o:gfxdata="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o1ARW/&#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line id="_x0000_s1026" o:spid="_x0000_s1026" o:spt="20" style="position:absolute;left:7892;top:5033;height:0;width:3960;" filled="f" stroked="t" coordsize="21600,21600" o:gfxdata="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cmWG/&#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shape id="_x0000_s1026" o:spid="_x0000_s1026" o:spt="100" style="position:absolute;left:7172;top:4721;height:468;width:540;" fillcolor="#FF0000" filled="t" stroked="f" coordsize="342900,297180" o:gfxdata="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C1Jb4A&#10;AADaAAAADwAAAAAAAAABACAAAAAiAAAAZHJzL2Rvd25yZXYueG1sUEsBAhQAFAAAAAgAh07iQDMv&#10;BZ47AAAAOQAAABAAAAAAAAAAAQAgAAAADQEAAGRycy9zaGFwZXhtbC54bWxQSwUGAAAAAAYABgBb&#10;AQAAtwMAAAAA&#10;" path="m0,113512l130976,113513,171450,0,211923,113513,342899,113512,236936,183666,277411,297179,171450,227023,65488,297179,105963,183666xe">
                  <v:path o:connectlocs="171450,0;0,113512;65488,297179;277411,297179;342899,113512" o:connectangles="247,164,82,82,0"/>
                  <v:fill type="pattern" on="t" color2="#FF0000" opacity="51118f" o:opacity2="51118f" focussize="0,0" r:id="rId4"/>
                  <v:stroke on="f"/>
                  <v:imagedata o:title=""/>
                  <o:lock v:ext="edit" aspectratio="f"/>
                </v:shape>
              </v:group>
            </w:pict>
          </mc:Fallback>
        </mc:AlternateContent>
      </w:r>
      <w:r>
        <w:rPr>
          <w:rFonts w:hint="eastAsia" w:ascii="仿宋_GB2312" w:eastAsia="仿宋_GB2312" w:cs="仿宋_GB2312"/>
          <w:color w:val="auto"/>
          <w:sz w:val="32"/>
          <w:szCs w:val="32"/>
        </w:rPr>
        <w:t>兴环评审字</w:t>
      </w:r>
      <w:r>
        <w:rPr>
          <w:rFonts w:ascii="仿宋_GB2312" w:eastAsia="仿宋_GB2312" w:cs="仿宋_GB2312"/>
          <w:color w:val="auto"/>
          <w:sz w:val="32"/>
          <w:szCs w:val="32"/>
        </w:rPr>
        <w:t>[20</w:t>
      </w:r>
      <w:r>
        <w:rPr>
          <w:rFonts w:hint="eastAsia" w:ascii="仿宋_GB2312" w:eastAsia="仿宋_GB2312" w:cs="仿宋_GB2312"/>
          <w:color w:val="auto"/>
          <w:sz w:val="32"/>
          <w:szCs w:val="32"/>
          <w:lang w:val="en-US" w:eastAsia="zh-CN"/>
        </w:rPr>
        <w:t>24</w:t>
      </w:r>
      <w:r>
        <w:rPr>
          <w:rFonts w:ascii="仿宋_GB2312" w:eastAsia="仿宋_GB2312" w:cs="仿宋_GB2312"/>
          <w:color w:val="auto"/>
          <w:sz w:val="32"/>
          <w:szCs w:val="32"/>
        </w:rPr>
        <w:t>]</w:t>
      </w:r>
      <w:r>
        <w:rPr>
          <w:rFonts w:hint="eastAsia" w:ascii="仿宋_GB2312" w:eastAsia="仿宋_GB2312" w:cs="仿宋_GB2312"/>
          <w:color w:val="auto"/>
          <w:sz w:val="32"/>
          <w:szCs w:val="32"/>
        </w:rPr>
        <w:t>第</w:t>
      </w:r>
      <w:r>
        <w:rPr>
          <w:rFonts w:ascii="仿宋_GB2312" w:eastAsia="仿宋_GB2312" w:cs="仿宋_GB2312"/>
          <w:color w:val="auto"/>
          <w:sz w:val="32"/>
          <w:szCs w:val="32"/>
        </w:rPr>
        <w:t>0</w:t>
      </w:r>
      <w:r>
        <w:rPr>
          <w:rFonts w:hint="eastAsia" w:ascii="仿宋_GB2312" w:eastAsia="仿宋_GB2312" w:cs="仿宋_GB2312"/>
          <w:color w:val="auto"/>
          <w:sz w:val="32"/>
          <w:szCs w:val="32"/>
          <w:lang w:val="en-US" w:eastAsia="zh-CN"/>
        </w:rPr>
        <w:t>03</w:t>
      </w:r>
      <w:r>
        <w:rPr>
          <w:rFonts w:hint="eastAsia" w:ascii="仿宋_GB2312" w:eastAsia="仿宋_GB2312" w:cs="仿宋_GB2312"/>
          <w:color w:val="auto"/>
          <w:sz w:val="32"/>
          <w:szCs w:val="32"/>
        </w:rPr>
        <w:t>号</w:t>
      </w:r>
    </w:p>
    <w:p>
      <w:pPr>
        <w:jc w:val="center"/>
        <w:rPr>
          <w:rFonts w:ascii="黑体" w:eastAsia="黑体"/>
          <w:sz w:val="36"/>
          <w:szCs w:val="36"/>
        </w:rPr>
      </w:pPr>
    </w:p>
    <w:p>
      <w:pPr>
        <w:pStyle w:val="4"/>
        <w:keepNext w:val="0"/>
        <w:keepLines w:val="0"/>
        <w:pageBreakBefore w:val="0"/>
        <w:widowControl w:val="0"/>
        <w:kinsoku/>
        <w:wordWrap/>
        <w:overflowPunct/>
        <w:topLinePunct w:val="0"/>
        <w:autoSpaceDE/>
        <w:autoSpaceDN/>
        <w:bidi w:val="0"/>
        <w:spacing w:line="579" w:lineRule="exact"/>
        <w:ind w:firstLine="0"/>
        <w:jc w:val="center"/>
        <w:textAlignment w:val="auto"/>
        <w:rPr>
          <w:rFonts w:hint="eastAsia" w:ascii="方正小标宋简体" w:hAnsi="宋体" w:eastAsia="方正小标宋简体" w:cs="方正小标宋简体"/>
          <w:sz w:val="44"/>
          <w:szCs w:val="44"/>
          <w:lang w:val="en-US" w:eastAsia="zh-CN"/>
        </w:rPr>
      </w:pPr>
      <w:bookmarkStart w:id="1" w:name="BiaoTi2"/>
      <w:bookmarkEnd w:id="1"/>
      <w:r>
        <w:rPr>
          <w:rFonts w:hint="eastAsia" w:ascii="方正小标宋简体" w:hAnsi="宋体" w:eastAsia="方正小标宋简体" w:cs="方正小标宋简体"/>
          <w:sz w:val="44"/>
          <w:szCs w:val="44"/>
          <w:lang w:val="en-US" w:eastAsia="zh-CN"/>
        </w:rPr>
        <w:t xml:space="preserve"> 关于《承德乾一食品有限公司</w:t>
      </w:r>
    </w:p>
    <w:p>
      <w:pPr>
        <w:pStyle w:val="4"/>
        <w:keepNext w:val="0"/>
        <w:keepLines w:val="0"/>
        <w:pageBreakBefore w:val="0"/>
        <w:widowControl w:val="0"/>
        <w:kinsoku/>
        <w:wordWrap/>
        <w:overflowPunct/>
        <w:topLinePunct w:val="0"/>
        <w:autoSpaceDE/>
        <w:autoSpaceDN/>
        <w:bidi w:val="0"/>
        <w:spacing w:line="579" w:lineRule="exact"/>
        <w:ind w:firstLine="0"/>
        <w:jc w:val="center"/>
        <w:textAlignment w:val="auto"/>
        <w:rPr>
          <w:rFonts w:hint="eastAsia"/>
          <w:b/>
          <w:bCs/>
          <w:sz w:val="32"/>
          <w:szCs w:val="32"/>
          <w:lang w:val="en-US" w:eastAsia="zh-CN"/>
        </w:rPr>
      </w:pPr>
      <w:r>
        <w:rPr>
          <w:rFonts w:hint="eastAsia" w:ascii="方正小标宋简体" w:hAnsi="宋体" w:eastAsia="方正小标宋简体" w:cs="方正小标宋简体"/>
          <w:sz w:val="44"/>
          <w:szCs w:val="44"/>
          <w:lang w:val="en-US" w:eastAsia="zh-CN"/>
        </w:rPr>
        <w:t>年产2000吨山楂制品项目环境影响报告表》的审批意见</w:t>
      </w:r>
    </w:p>
    <w:p>
      <w:pPr>
        <w:keepNext w:val="0"/>
        <w:keepLines w:val="0"/>
        <w:pageBreakBefore w:val="0"/>
        <w:widowControl w:val="0"/>
        <w:kinsoku/>
        <w:wordWrap/>
        <w:overflowPunct/>
        <w:topLinePunct w:val="0"/>
        <w:autoSpaceDE/>
        <w:autoSpaceDN/>
        <w:bidi w:val="0"/>
        <w:spacing w:line="579" w:lineRule="exact"/>
        <w:jc w:val="center"/>
        <w:textAlignment w:val="auto"/>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color w:val="auto"/>
          <w:kern w:val="24"/>
          <w:sz w:val="32"/>
          <w:szCs w:val="32"/>
          <w:lang w:val="en-US" w:eastAsia="zh-CN"/>
        </w:rPr>
      </w:pPr>
      <w:r>
        <w:rPr>
          <w:rFonts w:hint="eastAsia" w:ascii="仿宋_GB2312" w:hAnsi="仿宋_GB2312" w:eastAsia="仿宋_GB2312" w:cs="仿宋_GB2312"/>
          <w:color w:val="auto"/>
          <w:kern w:val="24"/>
          <w:sz w:val="32"/>
          <w:szCs w:val="32"/>
          <w:lang w:val="en-US" w:eastAsia="zh-CN"/>
        </w:rPr>
        <w:t>承德乾一食品有限公司：</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color w:val="auto"/>
          <w:kern w:val="24"/>
          <w:sz w:val="32"/>
          <w:szCs w:val="32"/>
          <w:lang w:val="en-US" w:eastAsia="zh-CN"/>
        </w:rPr>
      </w:pPr>
      <w:r>
        <w:rPr>
          <w:rFonts w:hint="eastAsia" w:ascii="仿宋_GB2312" w:hAnsi="仿宋_GB2312" w:eastAsia="仿宋_GB2312" w:cs="仿宋_GB2312"/>
          <w:color w:val="auto"/>
          <w:kern w:val="24"/>
          <w:sz w:val="32"/>
          <w:szCs w:val="32"/>
          <w:lang w:val="en-US" w:eastAsia="zh-CN"/>
        </w:rPr>
        <w:t xml:space="preserve">所报《承德乾一食品有限公司年产2000吨山楂制品项目环境影响报告表》（以下简称《报告表》）已收悉，经我局审查意见如下：     </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color w:val="auto"/>
          <w:kern w:val="24"/>
          <w:sz w:val="32"/>
          <w:szCs w:val="32"/>
          <w:lang w:val="en-US" w:eastAsia="zh-CN"/>
        </w:rPr>
      </w:pPr>
      <w:r>
        <w:rPr>
          <w:rFonts w:hint="eastAsia" w:ascii="仿宋_GB2312" w:hAnsi="仿宋_GB2312" w:eastAsia="仿宋_GB2312" w:cs="仿宋_GB2312"/>
          <w:color w:val="auto"/>
          <w:kern w:val="24"/>
          <w:sz w:val="32"/>
          <w:szCs w:val="32"/>
          <w:lang w:val="en-US" w:eastAsia="zh-CN"/>
        </w:rPr>
        <w:t>一、承德乾一食品有限公司年产2000吨山楂制品项目位于河北省承德市兴隆县半壁山镇靳杖子村，总投资2000万元，其中环保投资100万元,占地面积2096.45m</w:t>
      </w:r>
      <w:r>
        <w:rPr>
          <w:rFonts w:hint="eastAsia" w:ascii="仿宋_GB2312" w:hAnsi="仿宋_GB2312" w:eastAsia="仿宋_GB2312" w:cs="仿宋_GB2312"/>
          <w:color w:val="auto"/>
          <w:kern w:val="24"/>
          <w:sz w:val="32"/>
          <w:szCs w:val="32"/>
          <w:vertAlign w:val="superscript"/>
          <w:lang w:val="en-US" w:eastAsia="zh-CN"/>
        </w:rPr>
        <w:t>2</w:t>
      </w:r>
      <w:r>
        <w:rPr>
          <w:rFonts w:hint="eastAsia" w:ascii="仿宋_GB2312" w:hAnsi="仿宋_GB2312" w:eastAsia="仿宋_GB2312" w:cs="仿宋_GB2312"/>
          <w:color w:val="auto"/>
          <w:kern w:val="24"/>
          <w:sz w:val="32"/>
          <w:szCs w:val="32"/>
          <w:vertAlign w:val="baseline"/>
          <w:lang w:val="en-US" w:eastAsia="zh-CN"/>
        </w:rPr>
        <w:t>，</w:t>
      </w:r>
      <w:r>
        <w:rPr>
          <w:rFonts w:hint="eastAsia" w:ascii="仿宋_GB2312" w:hAnsi="仿宋_GB2312" w:eastAsia="仿宋_GB2312" w:cs="仿宋_GB2312"/>
          <w:color w:val="auto"/>
          <w:kern w:val="24"/>
          <w:sz w:val="32"/>
          <w:szCs w:val="32"/>
          <w:lang w:eastAsia="zh-CN"/>
        </w:rPr>
        <w:t>总建筑面积</w:t>
      </w:r>
      <w:r>
        <w:rPr>
          <w:rFonts w:hint="eastAsia" w:ascii="仿宋_GB2312" w:hAnsi="仿宋_GB2312" w:eastAsia="仿宋_GB2312" w:cs="仿宋_GB2312"/>
          <w:color w:val="auto"/>
          <w:kern w:val="24"/>
          <w:sz w:val="32"/>
          <w:szCs w:val="32"/>
          <w:lang w:val="en-US" w:eastAsia="zh-CN"/>
        </w:rPr>
        <w:t>4730</w:t>
      </w:r>
      <w:r>
        <w:rPr>
          <w:rFonts w:hint="eastAsia" w:ascii="仿宋_GB2312" w:hAnsi="仿宋_GB2312" w:eastAsia="仿宋_GB2312" w:cs="仿宋_GB2312"/>
          <w:color w:val="auto"/>
          <w:kern w:val="24"/>
          <w:sz w:val="32"/>
          <w:szCs w:val="32"/>
        </w:rPr>
        <w:t>m</w:t>
      </w:r>
      <w:r>
        <w:rPr>
          <w:rFonts w:hint="eastAsia" w:ascii="仿宋_GB2312" w:hAnsi="仿宋_GB2312" w:eastAsia="仿宋_GB2312" w:cs="仿宋_GB2312"/>
          <w:color w:val="auto"/>
          <w:kern w:val="24"/>
          <w:sz w:val="32"/>
          <w:szCs w:val="32"/>
          <w:vertAlign w:val="superscript"/>
        </w:rPr>
        <w:t>2</w:t>
      </w:r>
      <w:r>
        <w:rPr>
          <w:rFonts w:hint="eastAsia" w:ascii="仿宋_GB2312" w:hAnsi="仿宋_GB2312" w:eastAsia="仿宋_GB2312" w:cs="仿宋_GB2312"/>
          <w:color w:val="auto"/>
          <w:kern w:val="24"/>
          <w:sz w:val="32"/>
          <w:szCs w:val="32"/>
          <w:lang w:val="en-US" w:eastAsia="zh-CN"/>
        </w:rPr>
        <w:t>，依托靳杖子村工业规划区内扶贫车间已建成的标准厂房作为本项目的生产及生活车间，主要以山楂、白砂糖等为原辅料,建设1条年产2000吨山楂制品生产线,包括果丹皮1500t、山楂干500t。项目选址经镇政府核实符合该镇发展总体规划，并取得兴隆县行政审批局备案，在落实《报告表》确定的污染防治措施的前提下，从环保角度讲，同意该项目建设。</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color w:val="auto"/>
          <w:kern w:val="24"/>
          <w:sz w:val="32"/>
          <w:szCs w:val="32"/>
          <w:lang w:val="en-US" w:eastAsia="zh-CN"/>
        </w:rPr>
      </w:pPr>
      <w:r>
        <w:rPr>
          <w:rFonts w:hint="eastAsia" w:ascii="仿宋_GB2312" w:hAnsi="仿宋_GB2312" w:eastAsia="仿宋_GB2312" w:cs="仿宋_GB2312"/>
          <w:color w:val="auto"/>
          <w:kern w:val="24"/>
          <w:sz w:val="32"/>
          <w:szCs w:val="32"/>
          <w:lang w:val="en-US" w:eastAsia="zh-CN"/>
        </w:rPr>
        <w:t>二、建设单位在项目设计和建设中，要认真落实《报告表》中规定的各项环保措施，确保污染物达标排放。建设单位要在项目建设中严格落实以下内容：</w:t>
      </w:r>
    </w:p>
    <w:p>
      <w:pPr>
        <w:pStyle w:val="4"/>
        <w:keepNext w:val="0"/>
        <w:keepLines w:val="0"/>
        <w:pageBreakBefore w:val="0"/>
        <w:widowControl w:val="0"/>
        <w:kinsoku/>
        <w:wordWrap/>
        <w:overflowPunct/>
        <w:topLinePunct w:val="0"/>
        <w:autoSpaceDE/>
        <w:autoSpaceDN/>
        <w:bidi w:val="0"/>
        <w:snapToGrid w:val="0"/>
        <w:spacing w:line="579"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施工期间要求：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color w:val="auto"/>
          <w:kern w:val="24"/>
          <w:sz w:val="32"/>
          <w:szCs w:val="32"/>
          <w:lang w:val="en-US" w:eastAsia="zh-CN"/>
        </w:rPr>
      </w:pPr>
      <w:r>
        <w:rPr>
          <w:rFonts w:hint="eastAsia" w:ascii="仿宋_GB2312" w:hAnsi="仿宋_GB2312" w:eastAsia="仿宋_GB2312" w:cs="仿宋_GB2312"/>
          <w:color w:val="auto"/>
          <w:sz w:val="32"/>
          <w:szCs w:val="32"/>
        </w:rPr>
        <w:t>该项目在建设期间要严格控制扬尘污染，施工场地道路、施工及运输过程要严格按照</w:t>
      </w:r>
      <w:r>
        <w:rPr>
          <w:rFonts w:hint="eastAsia" w:ascii="仿宋_GB2312" w:hAnsi="仿宋_GB2312" w:eastAsia="仿宋_GB2312" w:cs="仿宋_GB2312"/>
          <w:color w:val="auto"/>
          <w:sz w:val="32"/>
          <w:szCs w:val="32"/>
          <w:lang w:val="en-US" w:eastAsia="zh-CN"/>
        </w:rPr>
        <w:t>《河北省扬尘污染防治办法》（河北省人民政府令〔2020〕第1号</w:t>
      </w:r>
      <w:r>
        <w:rPr>
          <w:rFonts w:hint="eastAsia" w:ascii="仿宋_GB2312" w:hAnsi="仿宋_GB2312" w:eastAsia="仿宋_GB2312" w:cs="仿宋_GB2312"/>
          <w:color w:val="auto"/>
          <w:sz w:val="32"/>
          <w:szCs w:val="32"/>
          <w:lang w:eastAsia="zh-CN"/>
        </w:rPr>
        <w:t>）及相关规定</w:t>
      </w:r>
      <w:r>
        <w:rPr>
          <w:rFonts w:hint="eastAsia" w:ascii="仿宋_GB2312" w:hAnsi="仿宋_GB2312" w:eastAsia="仿宋_GB2312" w:cs="仿宋_GB2312"/>
          <w:color w:val="auto"/>
          <w:sz w:val="32"/>
          <w:szCs w:val="32"/>
        </w:rPr>
        <w:t>中施工场地扬尘污染控制方法等措施对施工场地进行控制和防治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24"/>
          <w:sz w:val="32"/>
          <w:szCs w:val="32"/>
          <w:lang w:val="en-US" w:eastAsia="zh-CN"/>
        </w:rPr>
        <w:t>粉尘无组织排放浓度须满足《施工场地扬尘排放标准》（DB13/2934-2019）表1扬尘排放浓度限值要求。</w:t>
      </w:r>
    </w:p>
    <w:p>
      <w:pPr>
        <w:keepNext w:val="0"/>
        <w:keepLines w:val="0"/>
        <w:pageBreakBefore w:val="0"/>
        <w:widowControl w:val="0"/>
        <w:tabs>
          <w:tab w:val="left" w:pos="5040"/>
        </w:tabs>
        <w:kinsoku/>
        <w:wordWrap/>
        <w:overflowPunct/>
        <w:topLinePunct w:val="0"/>
        <w:autoSpaceDE/>
        <w:autoSpaceDN/>
        <w:bidi w:val="0"/>
        <w:snapToGrid w:val="0"/>
        <w:spacing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运营期要求：</w:t>
      </w:r>
    </w:p>
    <w:p>
      <w:pPr>
        <w:keepNext w:val="0"/>
        <w:keepLines w:val="0"/>
        <w:pageBreakBefore w:val="0"/>
        <w:widowControl w:val="0"/>
        <w:kinsoku/>
        <w:wordWrap/>
        <w:overflowPunct/>
        <w:topLinePunct w:val="0"/>
        <w:autoSpaceDE/>
        <w:autoSpaceDN/>
        <w:bidi w:val="0"/>
        <w:snapToGrid w:val="0"/>
        <w:spacing w:line="579" w:lineRule="exact"/>
        <w:ind w:firstLine="640" w:firstLineChars="200"/>
        <w:jc w:val="both"/>
        <w:textAlignment w:val="auto"/>
        <w:rPr>
          <w:rFonts w:hint="eastAsia" w:ascii="仿宋_GB2312" w:hAnsi="宋体" w:eastAsia="仿宋_GB2312" w:cs="仿宋_GB2312"/>
          <w:color w:val="auto"/>
          <w:kern w:val="24"/>
          <w:sz w:val="32"/>
          <w:szCs w:val="32"/>
          <w:lang w:val="en-US" w:eastAsia="zh-CN"/>
        </w:rPr>
      </w:pPr>
      <w:r>
        <w:rPr>
          <w:rFonts w:hint="eastAsia" w:ascii="仿宋_GB2312" w:hAnsi="仿宋_GB2312" w:eastAsia="仿宋_GB2312" w:cs="仿宋_GB2312"/>
          <w:color w:val="auto"/>
          <w:kern w:val="24"/>
          <w:sz w:val="32"/>
          <w:szCs w:val="32"/>
          <w:lang w:eastAsia="zh-CN"/>
        </w:rPr>
        <w:t>（1）做好大气污染防治工作。</w:t>
      </w:r>
      <w:r>
        <w:rPr>
          <w:rFonts w:hint="eastAsia" w:ascii="仿宋_GB2312" w:hAnsi="宋体" w:eastAsia="仿宋_GB2312" w:cs="仿宋_GB2312"/>
          <w:color w:val="auto"/>
          <w:kern w:val="24"/>
          <w:sz w:val="32"/>
          <w:szCs w:val="32"/>
          <w:lang w:val="en-US" w:eastAsia="zh-CN"/>
        </w:rPr>
        <w:t>厂区道路采用硬化措施,车辆运输时应加盖苫布，道路定时洒水降尘。熬煮、烘干废气经车间内部及通风管道扩散，以无组织形式排放，污水处理站DW001各处理设施采取封闭措施，对污泥进行及时清运，减少污泥堆存，定期喷洒除臭剂，须满足《恶臭污染物排放标准》（GB14554-1993）表1中新改扩建二级标准限值。</w:t>
      </w:r>
    </w:p>
    <w:p>
      <w:pPr>
        <w:keepNext w:val="0"/>
        <w:keepLines w:val="0"/>
        <w:pageBreakBefore w:val="0"/>
        <w:widowControl w:val="0"/>
        <w:kinsoku/>
        <w:wordWrap/>
        <w:overflowPunct/>
        <w:topLinePunct w:val="0"/>
        <w:autoSpaceDE/>
        <w:autoSpaceDN/>
        <w:bidi w:val="0"/>
        <w:snapToGrid w:val="0"/>
        <w:spacing w:line="579" w:lineRule="exact"/>
        <w:ind w:firstLine="640" w:firstLineChars="200"/>
        <w:textAlignment w:val="auto"/>
        <w:rPr>
          <w:rFonts w:hint="eastAsia" w:ascii="仿宋_GB2312" w:hAnsi="仿宋_GB2312" w:eastAsia="仿宋_GB2312" w:cs="仿宋_GB2312"/>
          <w:b w:val="0"/>
          <w:bCs w:val="0"/>
          <w:color w:val="auto"/>
          <w:kern w:val="24"/>
          <w:sz w:val="32"/>
          <w:szCs w:val="32"/>
          <w:lang w:eastAsia="zh-CN"/>
        </w:rPr>
      </w:pPr>
      <w:r>
        <w:rPr>
          <w:rFonts w:hint="eastAsia" w:ascii="仿宋_GB2312" w:hAnsi="仿宋_GB2312" w:eastAsia="仿宋_GB2312" w:cs="仿宋_GB2312"/>
          <w:color w:val="auto"/>
          <w:sz w:val="32"/>
          <w:szCs w:val="32"/>
        </w:rPr>
        <w:t>（2）提高水资源综合利用率</w:t>
      </w:r>
      <w:r>
        <w:rPr>
          <w:rFonts w:hint="eastAsia" w:ascii="仿宋_GB2312" w:hAnsi="仿宋_GB2312" w:eastAsia="仿宋_GB2312" w:cs="仿宋_GB2312"/>
          <w:color w:val="auto"/>
          <w:sz w:val="32"/>
          <w:szCs w:val="32"/>
          <w:lang w:eastAsia="zh-CN"/>
        </w:rPr>
        <w:t>。生产废水经自建污水处理站预处理后转运至兴隆县第二污水处理厂，</w:t>
      </w:r>
      <w:r>
        <w:rPr>
          <w:rFonts w:hint="eastAsia" w:ascii="仿宋_GB2312" w:hAnsi="宋体" w:eastAsia="仿宋_GB2312" w:cs="仿宋_GB2312"/>
          <w:color w:val="auto"/>
          <w:kern w:val="24"/>
          <w:sz w:val="32"/>
          <w:szCs w:val="32"/>
          <w:lang w:val="en-US" w:eastAsia="zh-CN"/>
        </w:rPr>
        <w:t>须满足《污水综合排放标准》（GB8978-1996）表4中三级标准要求，同时满足兴隆县第二污水处理厂进水标准</w:t>
      </w:r>
      <w:r>
        <w:rPr>
          <w:rFonts w:hint="eastAsia" w:ascii="仿宋_GB2312" w:hAnsi="仿宋_GB2312" w:eastAsia="仿宋_GB2312" w:cs="仿宋_GB2312"/>
          <w:color w:val="auto"/>
          <w:sz w:val="32"/>
          <w:szCs w:val="32"/>
          <w:lang w:eastAsia="zh-CN"/>
        </w:rPr>
        <w:t>；生活污水排入园区内化粪池定期清掏，</w:t>
      </w:r>
      <w:r>
        <w:rPr>
          <w:rFonts w:hint="eastAsia" w:ascii="仿宋_GB2312" w:hAnsi="宋体" w:eastAsia="仿宋_GB2312" w:cs="仿宋_GB2312"/>
          <w:color w:val="auto"/>
          <w:kern w:val="24"/>
          <w:sz w:val="32"/>
          <w:szCs w:val="32"/>
          <w:lang w:val="en-US" w:eastAsia="zh-CN"/>
        </w:rPr>
        <w:t>不得外排。</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（3）加强噪声源的管控。</w:t>
      </w:r>
      <w:r>
        <w:rPr>
          <w:rFonts w:hint="eastAsia" w:ascii="仿宋_GB2312" w:hAnsi="宋体" w:eastAsia="仿宋_GB2312" w:cs="仿宋_GB2312"/>
          <w:color w:val="auto"/>
          <w:kern w:val="24"/>
          <w:sz w:val="32"/>
          <w:szCs w:val="32"/>
          <w:lang w:val="en-US" w:eastAsia="zh-CN"/>
        </w:rPr>
        <w:t>项目设备选型时选用低噪声设备，设备安装时基础加装减振垫，并将产噪声设备安装于车间内部，生产车间安装隔声门窗，东、南、北厂界噪声排放须满足《工业企业厂界环境噪声排放标准》（GB12348-2008）2类标准</w:t>
      </w:r>
      <w:r>
        <w:rPr>
          <w:rFonts w:hint="eastAsia" w:ascii="仿宋_GB2312" w:hAnsi="仿宋_GB2312" w:eastAsia="仿宋_GB2312" w:cs="仿宋_GB2312"/>
          <w:color w:val="auto"/>
          <w:sz w:val="32"/>
          <w:szCs w:val="32"/>
          <w:lang w:eastAsia="zh-CN"/>
        </w:rPr>
        <w:t>，西侧执行4类标准。</w:t>
      </w:r>
    </w:p>
    <w:p>
      <w:pPr>
        <w:keepNext w:val="0"/>
        <w:keepLines w:val="0"/>
        <w:pageBreakBefore w:val="0"/>
        <w:widowControl w:val="0"/>
        <w:kinsoku/>
        <w:wordWrap/>
        <w:overflowPunct/>
        <w:topLinePunct w:val="0"/>
        <w:autoSpaceDE/>
        <w:autoSpaceDN/>
        <w:bidi w:val="0"/>
        <w:snapToGrid w:val="0"/>
        <w:spacing w:line="579" w:lineRule="exact"/>
        <w:ind w:firstLine="640" w:firstLineChars="200"/>
        <w:textAlignment w:val="auto"/>
        <w:rPr>
          <w:rFonts w:hint="eastAsia" w:ascii="仿宋_GB2312" w:hAnsi="宋体" w:eastAsia="仿宋_GB2312" w:cs="仿宋_GB2312"/>
          <w:color w:val="auto"/>
          <w:kern w:val="24"/>
          <w:sz w:val="32"/>
          <w:szCs w:val="32"/>
          <w:lang w:val="en-US" w:eastAsia="zh-CN"/>
        </w:rPr>
      </w:pPr>
      <w:r>
        <w:rPr>
          <w:rFonts w:hint="eastAsia" w:ascii="仿宋_GB2312" w:hAnsi="仿宋_GB2312" w:eastAsia="仿宋_GB2312" w:cs="仿宋_GB2312"/>
          <w:color w:val="auto"/>
          <w:sz w:val="32"/>
          <w:szCs w:val="32"/>
        </w:rPr>
        <w:t>（4）做好固体废物分类处置工作。</w:t>
      </w:r>
      <w:r>
        <w:rPr>
          <w:rFonts w:hint="eastAsia" w:ascii="仿宋_GB2312" w:hAnsi="宋体" w:eastAsia="仿宋_GB2312" w:cs="仿宋_GB2312"/>
          <w:color w:val="auto"/>
          <w:kern w:val="24"/>
          <w:sz w:val="32"/>
          <w:szCs w:val="32"/>
          <w:lang w:val="en-US" w:eastAsia="zh-CN"/>
        </w:rPr>
        <w:t>项目不合格原料霉烂果集中收集后外售加工成牲畜饲料；废果核统一收集后，外售作为生物质原料；废弃包装物、切分下脚料统一收集后外售；污水处理站产生的污泥收集后运至环卫部门指定地点；生活垃圾统一收集后，由环卫部门定期清运；废润滑油、废油桶、废旧含油抹布及劳保用品等危险废物暂存于危险废物暂存间内，委托有资质的专业单位安全处置，不得外排</w:t>
      </w:r>
      <w:r>
        <w:rPr>
          <w:rFonts w:hint="eastAsia" w:ascii="仿宋_GB2312" w:hAnsi="仿宋_GB2312" w:eastAsia="仿宋_GB2312" w:cs="仿宋_GB2312"/>
          <w:color w:val="auto"/>
          <w:sz w:val="32"/>
          <w:szCs w:val="32"/>
        </w:rPr>
        <w:t>，危险废物执行《危险废物贮存污染控制标准》（GB18597-2023）中的标准；危险废物收集、贮存、运输执行《危险废物收集、贮存、运输技术规范》（HJ2025-2012）。</w:t>
      </w:r>
    </w:p>
    <w:p>
      <w:pPr>
        <w:keepNext w:val="0"/>
        <w:keepLines w:val="0"/>
        <w:pageBreakBefore w:val="0"/>
        <w:widowControl w:val="0"/>
        <w:kinsoku/>
        <w:wordWrap/>
        <w:overflowPunct/>
        <w:topLinePunct w:val="0"/>
        <w:autoSpaceDE/>
        <w:autoSpaceDN/>
        <w:bidi w:val="0"/>
        <w:snapToGrid w:val="0"/>
        <w:spacing w:line="579"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三、项目实施要遵守国家环保法律法规。要统筹规划建设，做好工程与各项基础设施衔接工作。严格执行环境保护“三同时”制度</w:t>
      </w:r>
      <w:r>
        <w:rPr>
          <w:rFonts w:hint="eastAsia" w:ascii="仿宋_GB2312" w:hAnsi="宋体" w:eastAsia="仿宋_GB2312" w:cs="仿宋_GB2312"/>
          <w:color w:val="auto"/>
          <w:kern w:val="24"/>
          <w:sz w:val="32"/>
          <w:szCs w:val="32"/>
          <w:lang w:val="en-US" w:eastAsia="zh-CN"/>
        </w:rPr>
        <w:t>。</w:t>
      </w:r>
    </w:p>
    <w:p>
      <w:pPr>
        <w:keepNext w:val="0"/>
        <w:keepLines w:val="0"/>
        <w:pageBreakBefore w:val="0"/>
        <w:widowControl w:val="0"/>
        <w:kinsoku/>
        <w:wordWrap/>
        <w:overflowPunct/>
        <w:topLinePunct w:val="0"/>
        <w:autoSpaceDE/>
        <w:autoSpaceDN/>
        <w:bidi w:val="0"/>
        <w:snapToGrid w:val="0"/>
        <w:spacing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四、项目按照《报告表》及上述要求建设完成后，依法组织环境保护设施竣工验收，通过竣工验收后，方可正式运行。</w:t>
      </w:r>
    </w:p>
    <w:p>
      <w:pPr>
        <w:pStyle w:val="4"/>
        <w:keepNext w:val="0"/>
        <w:keepLines w:val="0"/>
        <w:pageBreakBefore w:val="0"/>
        <w:widowControl w:val="0"/>
        <w:kinsoku/>
        <w:wordWrap/>
        <w:overflowPunct/>
        <w:topLinePunct w:val="0"/>
        <w:autoSpaceDE/>
        <w:autoSpaceDN/>
        <w:bidi w:val="0"/>
        <w:spacing w:line="579" w:lineRule="exact"/>
        <w:ind w:firstLine="4000" w:firstLineChars="1250"/>
        <w:jc w:val="both"/>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spacing w:line="579" w:lineRule="exact"/>
        <w:ind w:firstLine="4000" w:firstLineChars="1250"/>
        <w:jc w:val="both"/>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spacing w:line="579" w:lineRule="exact"/>
        <w:ind w:firstLine="4000" w:firstLineChars="1250"/>
        <w:jc w:val="both"/>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spacing w:line="579" w:lineRule="exact"/>
        <w:ind w:firstLine="4000" w:firstLineChars="1250"/>
        <w:jc w:val="both"/>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spacing w:line="579" w:lineRule="exact"/>
        <w:ind w:firstLine="4000" w:firstLineChars="125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承德市生态环境局兴隆县分局</w:t>
      </w:r>
    </w:p>
    <w:p>
      <w:pPr>
        <w:pStyle w:val="4"/>
        <w:keepNext w:val="0"/>
        <w:keepLines w:val="0"/>
        <w:pageBreakBefore w:val="0"/>
        <w:widowControl w:val="0"/>
        <w:kinsoku/>
        <w:wordWrap/>
        <w:overflowPunct/>
        <w:topLinePunct w:val="0"/>
        <w:autoSpaceDE/>
        <w:autoSpaceDN/>
        <w:bidi w:val="0"/>
        <w:spacing w:line="579" w:lineRule="exact"/>
        <w:ind w:firstLine="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日</w:t>
      </w:r>
    </w:p>
    <w:p>
      <w:pPr>
        <w:pStyle w:val="4"/>
        <w:keepNext w:val="0"/>
        <w:keepLines w:val="0"/>
        <w:pageBreakBefore w:val="0"/>
        <w:widowControl w:val="0"/>
        <w:kinsoku/>
        <w:wordWrap/>
        <w:overflowPunct/>
        <w:topLinePunct w:val="0"/>
        <w:autoSpaceDE/>
        <w:autoSpaceDN/>
        <w:bidi w:val="0"/>
        <w:spacing w:line="579" w:lineRule="exact"/>
        <w:ind w:firstLine="0"/>
        <w:jc w:val="both"/>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spacing w:line="579" w:lineRule="exact"/>
        <w:ind w:firstLine="0"/>
        <w:jc w:val="both"/>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spacing w:line="579" w:lineRule="exact"/>
        <w:ind w:firstLine="0"/>
        <w:jc w:val="both"/>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spacing w:line="599" w:lineRule="exact"/>
        <w:ind w:firstLine="320" w:firstLineChars="100"/>
        <w:jc w:val="both"/>
        <w:textAlignment w:val="auto"/>
        <w:rPr>
          <w:rFonts w:hint="eastAsia" w:ascii="仿宋_GB2312" w:hAnsi="仿宋_GB2312" w:eastAsia="仿宋_GB2312" w:cs="仿宋_GB2312"/>
          <w:color w:val="auto"/>
          <w:sz w:val="32"/>
          <w:szCs w:val="32"/>
        </w:rPr>
      </w:pPr>
      <w:r>
        <w:rPr>
          <w:rFonts w:hint="eastAsia" w:ascii="仿宋_GB2312" w:eastAsia="仿宋_GB2312"/>
          <w:color w:val="auto"/>
          <w:sz w:val="32"/>
          <w:szCs w:val="32"/>
        </w:rPr>
        <w:t>经办人：</w:t>
      </w:r>
      <w:r>
        <w:rPr>
          <w:rFonts w:hint="eastAsia" w:ascii="仿宋_GB2312" w:eastAsia="仿宋_GB2312"/>
          <w:color w:val="auto"/>
          <w:sz w:val="32"/>
          <w:szCs w:val="32"/>
          <w:lang w:eastAsia="zh-CN"/>
        </w:rPr>
        <w:t>刘文月</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联系电话：0314—5055208</w:t>
      </w:r>
    </w:p>
    <w:tbl>
      <w:tblPr>
        <w:tblStyle w:val="6"/>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844"/>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PrEx>
        <w:trPr>
          <w:cantSplit/>
          <w:jc w:val="center"/>
        </w:trPr>
        <w:tc>
          <w:tcPr>
            <w:tcW w:w="8844" w:type="dxa"/>
            <w:tcBorders>
              <w:tl2br w:val="nil"/>
              <w:tr2bl w:val="nil"/>
            </w:tcBorders>
            <w:noWrap w:val="0"/>
            <w:vAlign w:val="top"/>
          </w:tcPr>
          <w:p>
            <w:pPr>
              <w:pStyle w:val="4"/>
              <w:keepNext w:val="0"/>
              <w:keepLines w:val="0"/>
              <w:pageBreakBefore w:val="0"/>
              <w:widowControl w:val="0"/>
              <w:kinsoku/>
              <w:wordWrap/>
              <w:overflowPunct/>
              <w:topLinePunct w:val="0"/>
              <w:autoSpaceDE/>
              <w:autoSpaceDN/>
              <w:bidi w:val="0"/>
              <w:spacing w:line="599" w:lineRule="exact"/>
              <w:ind w:left="0" w:leftChars="0" w:firstLine="280" w:firstLineChars="100"/>
              <w:jc w:val="both"/>
              <w:textAlignment w:val="auto"/>
              <w:rPr>
                <w:rFonts w:hint="eastAsia" w:ascii="仿宋_GB2312" w:hAnsi="仿宋_GB2312" w:eastAsia="仿宋_GB2312" w:cs="仿宋_GB2312"/>
                <w:color w:val="auto"/>
                <w:sz w:val="32"/>
                <w:szCs w:val="32"/>
                <w:vertAlign w:val="baseline"/>
              </w:rPr>
            </w:pPr>
            <w:r>
              <w:rPr>
                <w:rFonts w:hint="eastAsia" w:ascii="仿宋_GB2312" w:eastAsia="仿宋_GB2312"/>
                <w:color w:val="auto"/>
                <w:sz w:val="28"/>
                <w:szCs w:val="28"/>
              </w:rPr>
              <w:t>抄送：执法</w:t>
            </w:r>
            <w:r>
              <w:rPr>
                <w:rFonts w:hint="eastAsia" w:ascii="仿宋_GB2312" w:eastAsia="仿宋_GB2312"/>
                <w:color w:val="auto"/>
                <w:sz w:val="28"/>
                <w:szCs w:val="28"/>
                <w:lang w:eastAsia="zh-CN"/>
              </w:rPr>
              <w:t>调度指挥中心</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844" w:type="dxa"/>
            <w:tcBorders>
              <w:tl2br w:val="nil"/>
              <w:tr2bl w:val="nil"/>
            </w:tcBorders>
            <w:noWrap w:val="0"/>
            <w:vAlign w:val="top"/>
          </w:tcPr>
          <w:p>
            <w:pPr>
              <w:pStyle w:val="4"/>
              <w:keepNext w:val="0"/>
              <w:keepLines w:val="0"/>
              <w:pageBreakBefore w:val="0"/>
              <w:widowControl w:val="0"/>
              <w:kinsoku/>
              <w:wordWrap/>
              <w:overflowPunct/>
              <w:topLinePunct w:val="0"/>
              <w:autoSpaceDE/>
              <w:autoSpaceDN/>
              <w:bidi w:val="0"/>
              <w:spacing w:line="599" w:lineRule="exact"/>
              <w:ind w:left="0" w:leftChars="0" w:firstLine="280" w:firstLineChars="100"/>
              <w:jc w:val="both"/>
              <w:textAlignment w:val="auto"/>
              <w:rPr>
                <w:rFonts w:hint="eastAsia" w:ascii="仿宋_GB2312" w:hAnsi="仿宋_GB2312" w:eastAsia="仿宋_GB2312" w:cs="仿宋_GB2312"/>
                <w:color w:val="auto"/>
                <w:sz w:val="32"/>
                <w:szCs w:val="32"/>
                <w:vertAlign w:val="baseline"/>
              </w:rPr>
            </w:pPr>
            <w:r>
              <w:rPr>
                <w:rFonts w:hint="eastAsia" w:ascii="仿宋_GB2312" w:eastAsia="仿宋_GB2312"/>
                <w:color w:val="auto"/>
                <w:sz w:val="28"/>
                <w:szCs w:val="28"/>
              </w:rPr>
              <w:t>承德市</w:t>
            </w:r>
            <w:r>
              <w:rPr>
                <w:rFonts w:hint="eastAsia" w:ascii="仿宋_GB2312" w:eastAsia="仿宋_GB2312"/>
                <w:color w:val="auto"/>
                <w:sz w:val="28"/>
                <w:szCs w:val="28"/>
                <w:lang w:eastAsia="zh-CN"/>
              </w:rPr>
              <w:t>生态环境</w:t>
            </w:r>
            <w:r>
              <w:rPr>
                <w:rFonts w:hint="eastAsia" w:ascii="仿宋_GB2312" w:eastAsia="仿宋_GB2312"/>
                <w:color w:val="auto"/>
                <w:sz w:val="28"/>
                <w:szCs w:val="28"/>
              </w:rPr>
              <w:t xml:space="preserve">局兴隆县分局办公室      </w:t>
            </w:r>
            <w:r>
              <w:rPr>
                <w:rFonts w:hint="eastAsia" w:ascii="仿宋_GB2312" w:eastAsia="仿宋_GB2312"/>
                <w:color w:val="auto"/>
                <w:sz w:val="28"/>
                <w:szCs w:val="28"/>
                <w:lang w:val="en-US" w:eastAsia="zh-CN"/>
              </w:rPr>
              <w:t xml:space="preserve">  </w:t>
            </w:r>
            <w:bookmarkStart w:id="2" w:name="_GoBack"/>
            <w:bookmarkEnd w:id="2"/>
            <w:r>
              <w:rPr>
                <w:rFonts w:hint="eastAsia" w:ascii="仿宋_GB2312" w:eastAsia="仿宋_GB2312"/>
                <w:color w:val="auto"/>
                <w:sz w:val="28"/>
                <w:szCs w:val="28"/>
              </w:rPr>
              <w:t>202</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日印发</w:t>
            </w:r>
          </w:p>
        </w:tc>
      </w:tr>
    </w:tbl>
    <w:p>
      <w:pPr>
        <w:spacing w:line="400" w:lineRule="exact"/>
        <w:jc w:val="left"/>
        <w:rPr>
          <w:rFonts w:ascii="仿宋_GB2312" w:eastAsia="仿宋_GB2312"/>
          <w:color w:val="auto"/>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MGFjNzNjOTVkZDIyM2VjMjgxZTQzMmNlYzc4ZmUifQ=="/>
  </w:docVars>
  <w:rsids>
    <w:rsidRoot w:val="00000000"/>
    <w:rsid w:val="00270BE1"/>
    <w:rsid w:val="00867FFD"/>
    <w:rsid w:val="01EB6CDE"/>
    <w:rsid w:val="0285454C"/>
    <w:rsid w:val="02C76F84"/>
    <w:rsid w:val="02E92B06"/>
    <w:rsid w:val="046E2F7F"/>
    <w:rsid w:val="047A784F"/>
    <w:rsid w:val="04AA2CDB"/>
    <w:rsid w:val="056A0BF9"/>
    <w:rsid w:val="05797725"/>
    <w:rsid w:val="0682491C"/>
    <w:rsid w:val="06AD6562"/>
    <w:rsid w:val="07174993"/>
    <w:rsid w:val="07CD1FD5"/>
    <w:rsid w:val="080D2DB2"/>
    <w:rsid w:val="086E73A3"/>
    <w:rsid w:val="09304FAA"/>
    <w:rsid w:val="09C528C1"/>
    <w:rsid w:val="0A0420ED"/>
    <w:rsid w:val="0A152F67"/>
    <w:rsid w:val="0A243623"/>
    <w:rsid w:val="0BD42F0C"/>
    <w:rsid w:val="0BD87233"/>
    <w:rsid w:val="0C051FE7"/>
    <w:rsid w:val="0C460641"/>
    <w:rsid w:val="0C491D7D"/>
    <w:rsid w:val="0D13140D"/>
    <w:rsid w:val="0DAF2ACB"/>
    <w:rsid w:val="0DB00467"/>
    <w:rsid w:val="0F0E3698"/>
    <w:rsid w:val="10E97867"/>
    <w:rsid w:val="1220326C"/>
    <w:rsid w:val="12490950"/>
    <w:rsid w:val="155C2C83"/>
    <w:rsid w:val="15DD3DC4"/>
    <w:rsid w:val="16112265"/>
    <w:rsid w:val="16251D26"/>
    <w:rsid w:val="178169D1"/>
    <w:rsid w:val="187B1CC1"/>
    <w:rsid w:val="191915B7"/>
    <w:rsid w:val="1A2972F9"/>
    <w:rsid w:val="1AFD66F4"/>
    <w:rsid w:val="1C237D16"/>
    <w:rsid w:val="1D087C8C"/>
    <w:rsid w:val="1E08049C"/>
    <w:rsid w:val="1FAB2F80"/>
    <w:rsid w:val="1FF71F26"/>
    <w:rsid w:val="21BC700B"/>
    <w:rsid w:val="22EF1D4E"/>
    <w:rsid w:val="23FF3C71"/>
    <w:rsid w:val="240864B0"/>
    <w:rsid w:val="251D57D5"/>
    <w:rsid w:val="25EE74F5"/>
    <w:rsid w:val="272770EE"/>
    <w:rsid w:val="27DA3C60"/>
    <w:rsid w:val="27E2526A"/>
    <w:rsid w:val="284B2E0F"/>
    <w:rsid w:val="28B90DD1"/>
    <w:rsid w:val="29915724"/>
    <w:rsid w:val="2B807273"/>
    <w:rsid w:val="2C1A10A1"/>
    <w:rsid w:val="2C2726EA"/>
    <w:rsid w:val="2C610E53"/>
    <w:rsid w:val="2D157E8F"/>
    <w:rsid w:val="2D317A4E"/>
    <w:rsid w:val="2D3D2E98"/>
    <w:rsid w:val="2E6C3ADF"/>
    <w:rsid w:val="2F356EC8"/>
    <w:rsid w:val="31E0281A"/>
    <w:rsid w:val="31ED3189"/>
    <w:rsid w:val="32037118"/>
    <w:rsid w:val="3227704B"/>
    <w:rsid w:val="339C6C14"/>
    <w:rsid w:val="33D32139"/>
    <w:rsid w:val="34031F48"/>
    <w:rsid w:val="34D94374"/>
    <w:rsid w:val="35B568FE"/>
    <w:rsid w:val="364957C0"/>
    <w:rsid w:val="36B87A7C"/>
    <w:rsid w:val="36C22769"/>
    <w:rsid w:val="382920B3"/>
    <w:rsid w:val="383C3E8E"/>
    <w:rsid w:val="39912D3E"/>
    <w:rsid w:val="39DA0BCD"/>
    <w:rsid w:val="3A971ABC"/>
    <w:rsid w:val="3B2E0A9A"/>
    <w:rsid w:val="3B96663F"/>
    <w:rsid w:val="3C1B7851"/>
    <w:rsid w:val="3C876160"/>
    <w:rsid w:val="3E82485B"/>
    <w:rsid w:val="3FDF2BC7"/>
    <w:rsid w:val="40267F92"/>
    <w:rsid w:val="40B01F51"/>
    <w:rsid w:val="41A70B62"/>
    <w:rsid w:val="41A96E8D"/>
    <w:rsid w:val="432D2975"/>
    <w:rsid w:val="4416031D"/>
    <w:rsid w:val="4531066E"/>
    <w:rsid w:val="46A81AC6"/>
    <w:rsid w:val="4A48007A"/>
    <w:rsid w:val="4AF75008"/>
    <w:rsid w:val="4B3F0159"/>
    <w:rsid w:val="4C4803AA"/>
    <w:rsid w:val="4C697730"/>
    <w:rsid w:val="4D107905"/>
    <w:rsid w:val="4D7C7519"/>
    <w:rsid w:val="4DD90A58"/>
    <w:rsid w:val="4E225ACA"/>
    <w:rsid w:val="4E6F321E"/>
    <w:rsid w:val="4F3F2E1E"/>
    <w:rsid w:val="4F561F16"/>
    <w:rsid w:val="4F5D3224"/>
    <w:rsid w:val="4F985C79"/>
    <w:rsid w:val="4FD944C5"/>
    <w:rsid w:val="50113369"/>
    <w:rsid w:val="51620E39"/>
    <w:rsid w:val="53B37937"/>
    <w:rsid w:val="54102FDB"/>
    <w:rsid w:val="54427E9B"/>
    <w:rsid w:val="54563E27"/>
    <w:rsid w:val="54A86D6F"/>
    <w:rsid w:val="55BB3A03"/>
    <w:rsid w:val="55D9132D"/>
    <w:rsid w:val="56007B44"/>
    <w:rsid w:val="56091A90"/>
    <w:rsid w:val="57F73C83"/>
    <w:rsid w:val="58EA3039"/>
    <w:rsid w:val="5AA23E6A"/>
    <w:rsid w:val="5B115D73"/>
    <w:rsid w:val="5B94004E"/>
    <w:rsid w:val="5C8A3A2B"/>
    <w:rsid w:val="5D130598"/>
    <w:rsid w:val="5DBF512A"/>
    <w:rsid w:val="5DD77467"/>
    <w:rsid w:val="5E477161"/>
    <w:rsid w:val="5E9D3853"/>
    <w:rsid w:val="5EF1736D"/>
    <w:rsid w:val="5F382F6C"/>
    <w:rsid w:val="5F700704"/>
    <w:rsid w:val="5F8A72CC"/>
    <w:rsid w:val="5FE0754C"/>
    <w:rsid w:val="60200102"/>
    <w:rsid w:val="6029613B"/>
    <w:rsid w:val="60D72C53"/>
    <w:rsid w:val="62A74B0A"/>
    <w:rsid w:val="63CE4319"/>
    <w:rsid w:val="64354398"/>
    <w:rsid w:val="647E5104"/>
    <w:rsid w:val="64840FA3"/>
    <w:rsid w:val="65393A14"/>
    <w:rsid w:val="654123F2"/>
    <w:rsid w:val="66193B53"/>
    <w:rsid w:val="665F752A"/>
    <w:rsid w:val="6702639C"/>
    <w:rsid w:val="6716738C"/>
    <w:rsid w:val="67B042AB"/>
    <w:rsid w:val="67B24458"/>
    <w:rsid w:val="68D92956"/>
    <w:rsid w:val="69483B13"/>
    <w:rsid w:val="6A9260A0"/>
    <w:rsid w:val="6B7E2205"/>
    <w:rsid w:val="6C114071"/>
    <w:rsid w:val="6C1E7E9E"/>
    <w:rsid w:val="6C3D6426"/>
    <w:rsid w:val="6C401660"/>
    <w:rsid w:val="6DD30D76"/>
    <w:rsid w:val="6DE0074F"/>
    <w:rsid w:val="6FE335BD"/>
    <w:rsid w:val="70B0102E"/>
    <w:rsid w:val="70EB650A"/>
    <w:rsid w:val="711969B4"/>
    <w:rsid w:val="713F5F52"/>
    <w:rsid w:val="71C953EC"/>
    <w:rsid w:val="71E55C65"/>
    <w:rsid w:val="72907369"/>
    <w:rsid w:val="73125A38"/>
    <w:rsid w:val="73560140"/>
    <w:rsid w:val="73FB269B"/>
    <w:rsid w:val="75020DDE"/>
    <w:rsid w:val="757E5842"/>
    <w:rsid w:val="75BD50DA"/>
    <w:rsid w:val="75C876DF"/>
    <w:rsid w:val="76223567"/>
    <w:rsid w:val="77160C42"/>
    <w:rsid w:val="771F319A"/>
    <w:rsid w:val="78C60DC9"/>
    <w:rsid w:val="79F15A20"/>
    <w:rsid w:val="7A7F1A71"/>
    <w:rsid w:val="7C453C8F"/>
    <w:rsid w:val="7CE473DD"/>
    <w:rsid w:val="7CEB5BE3"/>
    <w:rsid w:val="7E98191C"/>
    <w:rsid w:val="7EA3317E"/>
    <w:rsid w:val="7EEF64CE"/>
    <w:rsid w:val="7F9953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0"/>
    <w:pPr>
      <w:keepNext/>
      <w:keepLines/>
      <w:spacing w:beforeLines="50" w:afterLines="50" w:line="576" w:lineRule="auto"/>
      <w:outlineLvl w:val="0"/>
    </w:pPr>
    <w:rPr>
      <w:rFonts w:eastAsia="黑体"/>
      <w:b/>
      <w:bCs/>
      <w:kern w:val="44"/>
      <w:szCs w:val="44"/>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styleId="4">
    <w:name w:val="Normal Indent"/>
    <w:basedOn w:val="1"/>
    <w:autoRedefine/>
    <w:qFormat/>
    <w:uiPriority w:val="99"/>
    <w:pPr>
      <w:ind w:firstLine="420"/>
    </w:pPr>
  </w:style>
  <w:style w:type="table" w:styleId="6">
    <w:name w:val="Table Grid"/>
    <w:basedOn w:val="5"/>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 样式 样式 四号 左侧:  1.53 厘米 + 首行缩进:  2 字符 + 居中 左侧:  2 字符 首行缩进:  2..."/>
    <w:basedOn w:val="9"/>
    <w:autoRedefine/>
    <w:qFormat/>
    <w:uiPriority w:val="0"/>
    <w:pPr>
      <w:adjustRightInd w:val="0"/>
      <w:spacing w:line="240" w:lineRule="auto"/>
      <w:ind w:left="200" w:leftChars="200" w:firstLine="0" w:firstLineChars="0"/>
      <w:jc w:val="center"/>
    </w:pPr>
    <w:rPr>
      <w:w w:val="90"/>
      <w:sz w:val="28"/>
    </w:rPr>
  </w:style>
  <w:style w:type="paragraph" w:customStyle="1" w:styleId="9">
    <w:name w:val="样式 样式 四号 左侧:  1.53 厘米 + 首行缩进:  2 字符"/>
    <w:basedOn w:val="10"/>
    <w:autoRedefine/>
    <w:qFormat/>
    <w:uiPriority w:val="0"/>
    <w:pPr>
      <w:ind w:left="200" w:leftChars="200"/>
    </w:pPr>
    <w:rPr>
      <w:szCs w:val="20"/>
    </w:rPr>
  </w:style>
  <w:style w:type="paragraph" w:customStyle="1" w:styleId="10">
    <w:name w:val="样式 四号 左侧:  1.53 厘米"/>
    <w:basedOn w:val="1"/>
    <w:autoRedefine/>
    <w:qFormat/>
    <w:uiPriority w:val="0"/>
    <w:pPr>
      <w:adjustRightInd w:val="0"/>
    </w:pPr>
    <w:rPr>
      <w:w w:val="9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bm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1098</Words>
  <Characters>1163</Characters>
  <Lines>0</Lines>
  <Paragraphs>0</Paragraphs>
  <TotalTime>5</TotalTime>
  <ScaleCrop>false</ScaleCrop>
  <LinksUpToDate>false</LinksUpToDate>
  <CharactersWithSpaces>1280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Jacaranda1411039490</cp:lastModifiedBy>
  <cp:lastPrinted>2023-12-21T01:55:00Z</cp:lastPrinted>
  <dcterms:modified xsi:type="dcterms:W3CDTF">2024-01-26T03:43:30Z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51DCE457B74E4BCDAB08363D8E879C33</vt:lpwstr>
  </property>
</Properties>
</file>