
<file path=[Content_Types].xml><?xml version="1.0" encoding="utf-8"?>
<Types xmlns="http://schemas.openxmlformats.org/package/2006/content-types">
  <Default Extension="xml" ContentType="application/xml"/>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6" w:leftChars="-153" w:right="-191" w:rightChars="-91" w:hanging="35" w:hangingChars="17"/>
        <w:jc w:val="center"/>
        <w:rPr>
          <w:rFonts w:ascii="宋体" w:hAnsi="新宋体"/>
          <w:b/>
          <w:bCs/>
          <w:spacing w:val="-20"/>
          <w:w w:val="61"/>
          <w:sz w:val="102"/>
          <w:szCs w:val="102"/>
        </w:rPr>
      </w:pPr>
      <w:bookmarkStart w:id="0" w:name="BiaoTi2"/>
      <w:bookmarkEnd w:id="0"/>
      <w:r>
        <w:drawing>
          <wp:anchor distT="0" distB="0" distL="114300" distR="114300" simplePos="0" relativeHeight="251659264" behindDoc="1" locked="0" layoutInCell="1" allowOverlap="1">
            <wp:simplePos x="0" y="0"/>
            <wp:positionH relativeFrom="column">
              <wp:posOffset>-3660775</wp:posOffset>
            </wp:positionH>
            <wp:positionV relativeFrom="paragraph">
              <wp:posOffset>136525</wp:posOffset>
            </wp:positionV>
            <wp:extent cx="1695450" cy="16954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695450" cy="1695450"/>
                    </a:xfrm>
                    <a:prstGeom prst="rect">
                      <a:avLst/>
                    </a:prstGeom>
                    <a:noFill/>
                    <a:ln>
                      <a:noFill/>
                    </a:ln>
                  </pic:spPr>
                </pic:pic>
              </a:graphicData>
            </a:graphic>
          </wp:anchor>
        </w:drawing>
      </w:r>
      <w:r>
        <w:rPr>
          <w:rFonts w:hint="eastAsia" w:ascii="宋体" w:hAnsi="新宋体" w:cs="宋体"/>
          <w:b/>
          <w:bCs/>
          <w:color w:val="FF0000"/>
          <w:spacing w:val="-20"/>
          <w:w w:val="61"/>
          <w:sz w:val="102"/>
          <w:szCs w:val="102"/>
        </w:rPr>
        <w:t>承德市生态环境局兴隆县分局文件</w:t>
      </w:r>
    </w:p>
    <w:p>
      <w:pPr>
        <w:spacing w:line="240" w:lineRule="exact"/>
        <w:ind w:firstLine="2850" w:firstLineChars="950"/>
        <w:rPr>
          <w:rFonts w:ascii="仿宋_GB2312" w:eastAsia="仿宋_GB2312"/>
          <w:sz w:val="30"/>
          <w:szCs w:val="30"/>
        </w:rPr>
      </w:pPr>
    </w:p>
    <w:p>
      <w:pPr>
        <w:jc w:val="center"/>
        <w:rPr>
          <w:rFonts w:ascii="仿宋_GB2312" w:eastAsia="仿宋_GB2312"/>
          <w:color w:val="auto"/>
          <w:sz w:val="32"/>
          <w:szCs w:val="32"/>
        </w:rPr>
      </w:pPr>
      <w:bookmarkStart w:id="1" w:name="ZiHao2"/>
      <w:bookmarkEnd w:id="1"/>
      <w:r>
        <w:rPr>
          <w:sz w:val="21"/>
        </w:rPr>
        <mc:AlternateContent>
          <mc:Choice Requires="wpg">
            <w:drawing>
              <wp:anchor distT="0" distB="0" distL="114300" distR="114300" simplePos="0" relativeHeight="251660288" behindDoc="0" locked="0" layoutInCell="1" allowOverlap="1">
                <wp:simplePos x="0" y="0"/>
                <wp:positionH relativeFrom="column">
                  <wp:posOffset>-27940</wp:posOffset>
                </wp:positionH>
                <wp:positionV relativeFrom="paragraph">
                  <wp:posOffset>342900</wp:posOffset>
                </wp:positionV>
                <wp:extent cx="5600700" cy="297180"/>
                <wp:effectExtent l="0" t="0" r="0" b="7620"/>
                <wp:wrapNone/>
                <wp:docPr id="5" name="组合 5"/>
                <wp:cNvGraphicFramePr/>
                <a:graphic xmlns:a="http://schemas.openxmlformats.org/drawingml/2006/main">
                  <a:graphicData uri="http://schemas.microsoft.com/office/word/2010/wordprocessingGroup">
                    <wpg:wgp>
                      <wpg:cNvGrpSpPr/>
                      <wpg:grpSpPr>
                        <a:xfrm>
                          <a:off x="0" y="0"/>
                          <a:ext cx="5600700" cy="297180"/>
                          <a:chOff x="3032" y="4721"/>
                          <a:chExt cx="8820" cy="468"/>
                        </a:xfrm>
                      </wpg:grpSpPr>
                      <wps:wsp>
                        <wps:cNvPr id="3" name="直接连接符 3"/>
                        <wps:cNvCnPr/>
                        <wps:spPr>
                          <a:xfrm>
                            <a:off x="3032" y="5033"/>
                            <a:ext cx="3960" cy="0"/>
                          </a:xfrm>
                          <a:prstGeom prst="line">
                            <a:avLst/>
                          </a:prstGeom>
                          <a:ln w="38100" cap="flat" cmpd="sng">
                            <a:solidFill>
                              <a:srgbClr val="FF0000"/>
                            </a:solidFill>
                            <a:prstDash val="solid"/>
                            <a:headEnd type="none" w="med" len="med"/>
                            <a:tailEnd type="none" w="med" len="med"/>
                          </a:ln>
                        </wps:spPr>
                        <wps:bodyPr upright="1"/>
                      </wps:wsp>
                      <wps:wsp>
                        <wps:cNvPr id="4" name="直接连接符 4"/>
                        <wps:cNvCnPr/>
                        <wps:spPr>
                          <a:xfrm>
                            <a:off x="7892" y="5033"/>
                            <a:ext cx="3960" cy="0"/>
                          </a:xfrm>
                          <a:prstGeom prst="line">
                            <a:avLst/>
                          </a:prstGeom>
                          <a:ln w="38100" cap="flat" cmpd="sng">
                            <a:solidFill>
                              <a:srgbClr val="FF0000"/>
                            </a:solidFill>
                            <a:prstDash val="solid"/>
                            <a:headEnd type="none" w="med" len="med"/>
                            <a:tailEnd type="none" w="med" len="med"/>
                          </a:ln>
                        </wps:spPr>
                        <wps:bodyPr upright="1"/>
                      </wps:wsp>
                      <wps:wsp>
                        <wps:cNvPr id="2" name="任意多边形 2"/>
                        <wps:cNvSpPr/>
                        <wps:spPr>
                          <a:xfrm>
                            <a:off x="7172" y="4721"/>
                            <a:ext cx="540" cy="468"/>
                          </a:xfrm>
                          <a:custGeom>
                            <a:avLst/>
                            <a:gdLst/>
                            <a:ahLst/>
                            <a:cxnLst>
                              <a:cxn ang="16187392">
                                <a:pos x="171450" y="0"/>
                              </a:cxn>
                              <a:cxn ang="10747904">
                                <a:pos x="0" y="113512"/>
                              </a:cxn>
                              <a:cxn ang="5373952">
                                <a:pos x="65488" y="297179"/>
                              </a:cxn>
                              <a:cxn ang="5373952">
                                <a:pos x="277411" y="297179"/>
                              </a:cxn>
                              <a:cxn ang="0">
                                <a:pos x="342899" y="113512"/>
                              </a:cxn>
                            </a:cxnLst>
                            <a:pathLst>
                              <a:path w="342900" h="297180">
                                <a:moveTo>
                                  <a:pt x="0" y="113512"/>
                                </a:moveTo>
                                <a:lnTo>
                                  <a:pt x="130976" y="113513"/>
                                </a:lnTo>
                                <a:lnTo>
                                  <a:pt x="171450" y="0"/>
                                </a:lnTo>
                                <a:lnTo>
                                  <a:pt x="211923" y="113513"/>
                                </a:lnTo>
                                <a:lnTo>
                                  <a:pt x="342899" y="113512"/>
                                </a:lnTo>
                                <a:lnTo>
                                  <a:pt x="236936" y="183666"/>
                                </a:lnTo>
                                <a:lnTo>
                                  <a:pt x="277411" y="297179"/>
                                </a:lnTo>
                                <a:lnTo>
                                  <a:pt x="171450" y="227023"/>
                                </a:lnTo>
                                <a:lnTo>
                                  <a:pt x="65488" y="297179"/>
                                </a:lnTo>
                                <a:lnTo>
                                  <a:pt x="105963" y="183666"/>
                                </a:lnTo>
                                <a:close/>
                              </a:path>
                            </a:pathLst>
                          </a:custGeom>
                          <a:pattFill prst="horz">
                            <a:fgClr>
                              <a:srgbClr val="FF0000">
                                <a:alpha val="78000"/>
                              </a:srgbClr>
                            </a:fgClr>
                            <a:bgClr>
                              <a:srgbClr val="FF0000">
                                <a:alpha val="78000"/>
                              </a:srgbClr>
                            </a:bgClr>
                          </a:pattFill>
                          <a:ln>
                            <a:noFill/>
                          </a:ln>
                        </wps:spPr>
                        <wps:bodyPr upright="1"/>
                      </wps:wsp>
                    </wpg:wgp>
                  </a:graphicData>
                </a:graphic>
              </wp:anchor>
            </w:drawing>
          </mc:Choice>
          <mc:Fallback>
            <w:pict>
              <v:group id="_x0000_s1026" o:spid="_x0000_s1026" o:spt="203" style="position:absolute;left:0pt;margin-left:-2.2pt;margin-top:27pt;height:23.4pt;width:441pt;z-index:251660288;mso-width-relative:page;mso-height-relative:page;" coordorigin="3032,4721" coordsize="8820,468" o:gfxdata="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JXhoSHZAAAACQEAAA8AAAAAAAAAAQAgAAAA&#10;IgAAAGRycy9kb3ducmV2LnhtbFBLAQIUABQAAAAIAIdO4kA3PtTjCwQAAHcMAAAOAAAAAAAAAAEA&#10;IAAAACgBAABkcnMvZTJvRG9jLnhtbFBLBQYAAAAABgAGAFkBAAClBwAAAAA=&#10;">
                <o:lock v:ext="edit" aspectratio="f"/>
                <v:line id="_x0000_s1026" o:spid="_x0000_s1026" o:spt="20" style="position:absolute;left:3032;top:5033;height:0;width:3960;"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7892;top:5033;height:0;width:3960;"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_x0000_s1026" o:spid="_x0000_s1026" o:spt="100" style="position:absolute;left:7172;top:4721;height:468;width:540;" fillcolor="#FF0000" filled="t" stroked="f" coordsize="342900,297180" o:gfxdata="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1Jb4A&#10;AADaAAAADwAAAAAAAAABACAAAAAiAAAAZHJzL2Rvd25yZXYueG1sUEsBAhQAFAAAAAgAh07iQDMv&#10;BZ47AAAAOQAAABAAAAAAAAAAAQAgAAAADQEAAGRycy9zaGFwZXhtbC54bWxQSwUGAAAAAAYABgBb&#10;AQAAtwMAAAAA&#10;" path="m0,113512l130976,113513,171450,0,211923,113513,342899,113512,236936,183666,277411,297179,171450,227023,65488,297179,105963,183666xe">
                  <v:path o:connectlocs="171450,0;0,113512;65488,297179;277411,297179;342899,113512" o:connectangles="247,164,82,82,0"/>
                  <v:fill type="pattern" on="t" color2="#FF0000" opacity="51118f" o:opacity2="51118f" focussize="0,0" r:id="rId5"/>
                  <v:stroke on="f"/>
                  <v:imagedata o:title=""/>
                  <o:lock v:ext="edit" aspectratio="f"/>
                </v:shape>
              </v:group>
            </w:pict>
          </mc:Fallback>
        </mc:AlternateContent>
      </w:r>
      <w:r>
        <w:rPr>
          <w:rFonts w:hint="eastAsia" w:ascii="仿宋_GB2312" w:eastAsia="仿宋_GB2312" w:cs="仿宋_GB2312"/>
          <w:color w:val="auto"/>
          <w:sz w:val="32"/>
          <w:szCs w:val="32"/>
        </w:rPr>
        <w:t>兴环评审字</w:t>
      </w:r>
      <w:r>
        <w:rPr>
          <w:rFonts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24</w:t>
      </w:r>
      <w:r>
        <w:rPr>
          <w:rFonts w:ascii="仿宋_GB2312" w:eastAsia="仿宋_GB2312" w:cs="仿宋_GB2312"/>
          <w:color w:val="auto"/>
          <w:sz w:val="32"/>
          <w:szCs w:val="32"/>
        </w:rPr>
        <w:t>]</w:t>
      </w:r>
      <w:r>
        <w:rPr>
          <w:rFonts w:hint="eastAsia" w:ascii="仿宋_GB2312" w:eastAsia="仿宋_GB2312" w:cs="仿宋_GB2312"/>
          <w:color w:val="auto"/>
          <w:sz w:val="32"/>
          <w:szCs w:val="32"/>
        </w:rPr>
        <w:t>第</w:t>
      </w:r>
      <w:r>
        <w:rPr>
          <w:rFonts w:ascii="仿宋_GB2312" w:eastAsia="仿宋_GB2312" w:cs="仿宋_GB2312"/>
          <w:color w:val="auto"/>
          <w:sz w:val="32"/>
          <w:szCs w:val="32"/>
        </w:rPr>
        <w:t>0</w:t>
      </w:r>
      <w:r>
        <w:rPr>
          <w:rFonts w:hint="eastAsia" w:ascii="仿宋_GB2312" w:eastAsia="仿宋_GB2312" w:cs="仿宋_GB2312"/>
          <w:color w:val="auto"/>
          <w:sz w:val="32"/>
          <w:szCs w:val="32"/>
          <w:lang w:val="en-US" w:eastAsia="zh-CN"/>
        </w:rPr>
        <w:t>02</w:t>
      </w:r>
      <w:r>
        <w:rPr>
          <w:rFonts w:hint="eastAsia" w:ascii="仿宋_GB2312" w:eastAsia="仿宋_GB2312" w:cs="仿宋_GB2312"/>
          <w:color w:val="auto"/>
          <w:sz w:val="32"/>
          <w:szCs w:val="32"/>
        </w:rPr>
        <w:t>号</w:t>
      </w:r>
    </w:p>
    <w:p>
      <w:pPr>
        <w:jc w:val="center"/>
        <w:rPr>
          <w:rFonts w:ascii="黑体" w:eastAsia="黑体"/>
          <w:sz w:val="36"/>
          <w:szCs w:val="36"/>
        </w:rPr>
      </w:pPr>
    </w:p>
    <w:p>
      <w:pPr>
        <w:pStyle w:val="4"/>
        <w:keepNext w:val="0"/>
        <w:keepLines w:val="0"/>
        <w:pageBreakBefore w:val="0"/>
        <w:widowControl w:val="0"/>
        <w:kinsoku/>
        <w:wordWrap/>
        <w:overflowPunct/>
        <w:topLinePunct w:val="0"/>
        <w:autoSpaceDE/>
        <w:autoSpaceDN/>
        <w:bidi w:val="0"/>
        <w:spacing w:line="579" w:lineRule="exact"/>
        <w:ind w:firstLine="0"/>
        <w:jc w:val="center"/>
        <w:textAlignment w:val="auto"/>
        <w:rPr>
          <w:rFonts w:hint="eastAsia"/>
          <w:b/>
          <w:bCs/>
          <w:sz w:val="32"/>
          <w:szCs w:val="32"/>
          <w:lang w:val="en-US" w:eastAsia="zh-CN"/>
        </w:rPr>
      </w:pPr>
      <w:r>
        <w:rPr>
          <w:rFonts w:hint="eastAsia" w:ascii="方正小标宋简体" w:hAnsi="宋体" w:eastAsia="方正小标宋简体" w:cs="方正小标宋简体"/>
          <w:sz w:val="44"/>
          <w:szCs w:val="44"/>
          <w:lang w:val="en-US" w:eastAsia="zh-CN"/>
        </w:rPr>
        <w:t xml:space="preserve"> 关于《兴隆县城郊乡村振兴基础设施建设项目环境影响报告表》的审批意见</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兴隆县城市建设开发有限公司：</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 xml:space="preserve">所报《兴隆县城郊乡村振兴基础设施建设项目环境影响报告表》（以下简称《报告表》）已收悉，经我局审查意见如下：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一、兴隆县城郊乡村振兴基础设施建设项目位于河北省承德市兴隆县兴隆镇大河南村，总投资5000万元，其中环保投资500万元,占地面积47791.4m</w:t>
      </w:r>
      <w:r>
        <w:rPr>
          <w:rFonts w:hint="eastAsia" w:ascii="仿宋_GB2312" w:hAnsi="仿宋_GB2312" w:eastAsia="仿宋_GB2312" w:cs="仿宋_GB2312"/>
          <w:color w:val="auto"/>
          <w:kern w:val="24"/>
          <w:sz w:val="32"/>
          <w:szCs w:val="32"/>
          <w:vertAlign w:val="superscript"/>
          <w:lang w:val="en-US" w:eastAsia="zh-CN"/>
        </w:rPr>
        <w:t>2</w:t>
      </w:r>
      <w:r>
        <w:rPr>
          <w:rFonts w:hint="eastAsia" w:ascii="仿宋_GB2312" w:hAnsi="仿宋_GB2312" w:eastAsia="仿宋_GB2312" w:cs="仿宋_GB2312"/>
          <w:color w:val="auto"/>
          <w:kern w:val="24"/>
          <w:sz w:val="32"/>
          <w:szCs w:val="32"/>
          <w:vertAlign w:val="baseline"/>
          <w:lang w:val="en-US" w:eastAsia="zh-CN"/>
        </w:rPr>
        <w:t>，</w:t>
      </w:r>
      <w:r>
        <w:rPr>
          <w:rFonts w:hint="eastAsia" w:ascii="仿宋_GB2312" w:hAnsi="仿宋_GB2312" w:eastAsia="仿宋_GB2312" w:cs="仿宋_GB2312"/>
          <w:color w:val="auto"/>
          <w:kern w:val="24"/>
          <w:sz w:val="32"/>
          <w:szCs w:val="32"/>
          <w:lang w:eastAsia="zh-CN"/>
        </w:rPr>
        <w:t>总建筑面积</w:t>
      </w:r>
      <w:r>
        <w:rPr>
          <w:rFonts w:hint="eastAsia" w:ascii="仿宋_GB2312" w:hAnsi="仿宋_GB2312" w:eastAsia="仿宋_GB2312" w:cs="仿宋_GB2312"/>
          <w:color w:val="auto"/>
          <w:kern w:val="24"/>
          <w:sz w:val="32"/>
          <w:szCs w:val="32"/>
          <w:lang w:val="en-US" w:eastAsia="zh-CN"/>
        </w:rPr>
        <w:t>21000</w:t>
      </w:r>
      <w:r>
        <w:rPr>
          <w:rFonts w:hint="eastAsia" w:ascii="仿宋_GB2312" w:hAnsi="仿宋_GB2312" w:eastAsia="仿宋_GB2312" w:cs="仿宋_GB2312"/>
          <w:color w:val="auto"/>
          <w:kern w:val="24"/>
          <w:sz w:val="32"/>
          <w:szCs w:val="32"/>
        </w:rPr>
        <w:t>m</w:t>
      </w:r>
      <w:r>
        <w:rPr>
          <w:rFonts w:hint="eastAsia" w:ascii="仿宋_GB2312" w:hAnsi="仿宋_GB2312" w:eastAsia="仿宋_GB2312" w:cs="仿宋_GB2312"/>
          <w:color w:val="auto"/>
          <w:kern w:val="24"/>
          <w:sz w:val="32"/>
          <w:szCs w:val="32"/>
          <w:vertAlign w:val="superscript"/>
        </w:rPr>
        <w:t>2</w:t>
      </w:r>
      <w:r>
        <w:rPr>
          <w:rFonts w:hint="eastAsia" w:ascii="仿宋_GB2312" w:hAnsi="仿宋_GB2312" w:eastAsia="仿宋_GB2312" w:cs="仿宋_GB2312"/>
          <w:color w:val="auto"/>
          <w:kern w:val="24"/>
          <w:sz w:val="32"/>
          <w:szCs w:val="32"/>
          <w:lang w:val="en-US" w:eastAsia="zh-CN"/>
        </w:rPr>
        <w:t>。项目以建筑垃圾及固体废物为原料进行加工，一期工程建设每小时处理100吨建筑垃圾处理生产线及资源化利用生产线和每小时处理500吨固体废物处置生产线，主体工程为新建封闭式生产车间2座，配套建设危险废物暂存间、地磅房、洗车平台、给排水、供电等设施；二期工程建设年产8000万块再生砖生产线，新建水泥筒仓、库房。项目符合河北兴隆经济开发区整体规划，并取得兴隆县行政审批局备案，在落实《报告表》确定的污染防治措施的前提下，从环保角度讲，同意该项目建设。</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二、建设单位在项目设计和建设中，要认真落实《报告表》中规定的各项环保措施，确保污染物达标排放。建设单位要在项目建设中严格落实以下内容：</w:t>
      </w:r>
    </w:p>
    <w:p>
      <w:pPr>
        <w:pStyle w:val="4"/>
        <w:keepNext w:val="0"/>
        <w:keepLines w:val="0"/>
        <w:pageBreakBefore w:val="0"/>
        <w:widowControl w:val="0"/>
        <w:kinsoku/>
        <w:wordWrap/>
        <w:overflowPunct/>
        <w:topLinePunct w:val="0"/>
        <w:autoSpaceDE/>
        <w:autoSpaceDN/>
        <w:bidi w:val="0"/>
        <w:snapToGrid w:val="0"/>
        <w:spacing w:line="579"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施工期间要求：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sz w:val="32"/>
          <w:szCs w:val="32"/>
        </w:rPr>
        <w:t>该项目在建设期间要严格控制扬尘污染，施工场地道路、施工及运输过程要严格按照</w:t>
      </w:r>
      <w:r>
        <w:rPr>
          <w:rFonts w:hint="eastAsia" w:ascii="仿宋_GB2312" w:hAnsi="仿宋_GB2312" w:eastAsia="仿宋_GB2312" w:cs="仿宋_GB2312"/>
          <w:color w:val="auto"/>
          <w:sz w:val="32"/>
          <w:szCs w:val="32"/>
          <w:lang w:val="en-US" w:eastAsia="zh-CN"/>
        </w:rPr>
        <w:t>《河北省扬尘污染防治办法》（河北省人民政府令〔2020〕第1号</w:t>
      </w:r>
      <w:r>
        <w:rPr>
          <w:rFonts w:hint="eastAsia" w:ascii="仿宋_GB2312" w:hAnsi="仿宋_GB2312" w:eastAsia="仿宋_GB2312" w:cs="仿宋_GB2312"/>
          <w:color w:val="auto"/>
          <w:sz w:val="32"/>
          <w:szCs w:val="32"/>
          <w:lang w:eastAsia="zh-CN"/>
        </w:rPr>
        <w:t>）及相关规定</w:t>
      </w:r>
      <w:r>
        <w:rPr>
          <w:rFonts w:hint="eastAsia" w:ascii="仿宋_GB2312" w:hAnsi="仿宋_GB2312" w:eastAsia="仿宋_GB2312" w:cs="仿宋_GB2312"/>
          <w:color w:val="auto"/>
          <w:sz w:val="32"/>
          <w:szCs w:val="32"/>
        </w:rPr>
        <w:t>中施工场地扬尘污染控制方法等措施对施工场地进行控制和防治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4"/>
          <w:sz w:val="32"/>
          <w:szCs w:val="32"/>
          <w:lang w:val="en-US" w:eastAsia="zh-CN"/>
        </w:rPr>
        <w:t>粉尘无组织排放浓度须满足《施工场地扬尘排放标准》（DB13/2934-2019）表1扬尘排放浓度限值要求。</w:t>
      </w:r>
    </w:p>
    <w:p>
      <w:pPr>
        <w:keepNext w:val="0"/>
        <w:keepLines w:val="0"/>
        <w:pageBreakBefore w:val="0"/>
        <w:widowControl w:val="0"/>
        <w:tabs>
          <w:tab w:val="left" w:pos="5040"/>
        </w:tabs>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运营期要求：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kern w:val="24"/>
          <w:sz w:val="32"/>
          <w:szCs w:val="32"/>
          <w:lang w:eastAsia="zh-CN"/>
        </w:rPr>
        <w:t>（1）做好大气污染防治工作。</w:t>
      </w:r>
      <w:r>
        <w:rPr>
          <w:rFonts w:hint="eastAsia" w:ascii="仿宋_GB2312" w:hAnsi="宋体" w:eastAsia="仿宋_GB2312" w:cs="仿宋_GB2312"/>
          <w:color w:val="auto"/>
          <w:kern w:val="24"/>
          <w:sz w:val="32"/>
          <w:szCs w:val="32"/>
          <w:lang w:val="en-US" w:eastAsia="zh-CN"/>
        </w:rPr>
        <w:t>厂区道路采用硬化措施,车辆运输时应加盖苫布，道路定时洒水降尘，二期项目建成后，厂界执行《水泥工业大气污染物超低排放标准》（DB13/2167-2020）表2大气污染物无组织排放限值要求；车间封闭，车间内物料堆存区上部及上料区设置水喷淋装置，定时洒水降尘，粉尘无组织排放浓度须满足《大气污染物综合排放标准》（GB16297-1996）表2中颗粒物无组织排放限值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仿宋_GB2312" w:hAnsi="宋体" w:eastAsia="仿宋_GB2312" w:cs="仿宋_GB2312"/>
          <w:color w:val="auto"/>
          <w:kern w:val="24"/>
          <w:sz w:val="32"/>
          <w:szCs w:val="32"/>
          <w:lang w:val="en-US" w:eastAsia="zh-CN"/>
        </w:rPr>
      </w:pPr>
      <w:r>
        <w:rPr>
          <w:rFonts w:hint="eastAsia" w:ascii="仿宋_GB2312" w:hAnsi="宋体" w:eastAsia="仿宋_GB2312" w:cs="仿宋_GB2312"/>
          <w:color w:val="auto"/>
          <w:kern w:val="24"/>
          <w:sz w:val="32"/>
          <w:szCs w:val="32"/>
          <w:lang w:val="en-US" w:eastAsia="zh-CN"/>
        </w:rPr>
        <w:t>固体废物生产线和建筑垃圾生产线的破碎、筛分工序均在封闭的生产车间内进行，破碎机、筛分机进、出料口设置封闭集气罩，由布袋除尘器处理后分别经25m高的排气筒DA001、DA002排放，有组织排放浓度须满足《大气污染物综合排放标准》（GB16297-1996）表2中二级标准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仿宋_GB2312" w:hAnsi="宋体" w:eastAsia="仿宋_GB2312" w:cs="仿宋_GB2312"/>
          <w:color w:val="auto"/>
          <w:kern w:val="24"/>
          <w:sz w:val="32"/>
          <w:szCs w:val="32"/>
          <w:lang w:val="en-US" w:eastAsia="zh-CN"/>
        </w:rPr>
      </w:pPr>
      <w:r>
        <w:rPr>
          <w:rFonts w:hint="eastAsia" w:ascii="仿宋_GB2312" w:hAnsi="宋体" w:eastAsia="仿宋_GB2312" w:cs="仿宋_GB2312"/>
          <w:color w:val="auto"/>
          <w:kern w:val="24"/>
          <w:sz w:val="32"/>
          <w:szCs w:val="32"/>
          <w:lang w:val="en-US" w:eastAsia="zh-CN"/>
        </w:rPr>
        <w:t>再生砖生产线混合搅拌工序入料口设置集气罩，由布袋除尘器处理后通过17m高的排气筒DA003排放；水泥筒仓顶部废气由一台脉冲布袋除尘器处理后，通过自带的排气筒直接排放，排放浓度须满足《水泥工业大气污染物超低排放标准》（DB13/2167-2020）表1中相关标准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仿宋_GB2312" w:hAnsi="宋体" w:eastAsia="仿宋_GB2312" w:cs="仿宋_GB2312"/>
          <w:color w:val="auto"/>
          <w:kern w:val="24"/>
          <w:sz w:val="32"/>
          <w:szCs w:val="32"/>
          <w:lang w:val="en-US" w:eastAsia="zh-CN"/>
        </w:rPr>
      </w:pPr>
      <w:r>
        <w:rPr>
          <w:rFonts w:hint="eastAsia" w:ascii="仿宋_GB2312" w:hAnsi="宋体" w:eastAsia="仿宋_GB2312" w:cs="仿宋_GB2312"/>
          <w:color w:val="auto"/>
          <w:kern w:val="24"/>
          <w:sz w:val="32"/>
          <w:szCs w:val="32"/>
          <w:lang w:val="en-US" w:eastAsia="zh-CN"/>
        </w:rPr>
        <w:t>食堂油烟通过静电式油烟净化装置处理后引至楼顶排放，排放浓度须满足《饮食业油烟排放标准(试行)》（GB18483-2001）小型标准要求。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b w:val="0"/>
          <w:bCs w:val="0"/>
          <w:color w:val="auto"/>
          <w:kern w:val="24"/>
          <w:sz w:val="32"/>
          <w:szCs w:val="32"/>
          <w:lang w:eastAsia="zh-CN"/>
        </w:rPr>
      </w:pPr>
      <w:r>
        <w:rPr>
          <w:rFonts w:hint="eastAsia" w:ascii="仿宋_GB2312" w:hAnsi="仿宋_GB2312" w:eastAsia="仿宋_GB2312" w:cs="仿宋_GB2312"/>
          <w:color w:val="auto"/>
          <w:sz w:val="32"/>
          <w:szCs w:val="32"/>
        </w:rPr>
        <w:t>（2）提高水资源综合利用率</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kern w:val="24"/>
          <w:sz w:val="32"/>
          <w:szCs w:val="32"/>
          <w:lang w:val="en-US" w:eastAsia="zh-CN"/>
        </w:rPr>
        <w:t>车辆清洗废水排入洗车平台配套沉淀池内，沉淀后回用于车辆清洗；食堂废水经过隔油池预处理后，同生活污水一起排入化粪池，定期清掏，不得外排</w:t>
      </w:r>
      <w:r>
        <w:rPr>
          <w:rFonts w:hint="eastAsia" w:ascii="仿宋_GB2312" w:hAnsi="仿宋_GB2312" w:eastAsia="仿宋_GB2312" w:cs="仿宋_GB2312"/>
          <w:b w:val="0"/>
          <w:bCs w:val="0"/>
          <w:color w:val="auto"/>
          <w:kern w:val="2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（3）加强噪声源的管控。</w:t>
      </w:r>
      <w:r>
        <w:rPr>
          <w:rFonts w:hint="eastAsia" w:ascii="仿宋_GB2312" w:hAnsi="宋体" w:eastAsia="仿宋_GB2312" w:cs="仿宋_GB2312"/>
          <w:color w:val="auto"/>
          <w:kern w:val="24"/>
          <w:sz w:val="32"/>
          <w:szCs w:val="32"/>
          <w:lang w:val="en-US" w:eastAsia="zh-CN"/>
        </w:rPr>
        <w:t>项目设备选型时选用低噪声设备，设备安装时基础加装减振垫，并将产噪声设备安装于车间内部，生产车间安装隔声门窗，厂界噪声排放须满足《工业企业厂界环境噪声排放标准》（GB12348-2008）2类标准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sz w:val="32"/>
          <w:szCs w:val="32"/>
        </w:rPr>
        <w:t>（4）做好固体废物分类处置工作。</w:t>
      </w:r>
      <w:r>
        <w:rPr>
          <w:rFonts w:hint="eastAsia" w:ascii="仿宋_GB2312" w:hAnsi="宋体" w:eastAsia="仿宋_GB2312" w:cs="仿宋_GB2312"/>
          <w:color w:val="auto"/>
          <w:kern w:val="24"/>
          <w:sz w:val="32"/>
          <w:szCs w:val="32"/>
          <w:lang w:val="en-US" w:eastAsia="zh-CN"/>
        </w:rPr>
        <w:t>该项目布袋除尘器除尘灰、沉淀池泥砂集中收集外售；废砖回用于生产；塑料、纸屑、生活垃圾袋装化，集中收集，由当地有关部门统一处理，不得外排；废润滑油、废油桶、废旧含油抹布及劳保用品等危险废物暂存于危险废物暂存间内，委托有资质的专业单位安全处置，不得外排</w:t>
      </w:r>
      <w:r>
        <w:rPr>
          <w:rFonts w:hint="eastAsia" w:ascii="仿宋_GB2312" w:hAnsi="仿宋_GB2312" w:eastAsia="仿宋_GB2312" w:cs="仿宋_GB2312"/>
          <w:color w:val="auto"/>
          <w:sz w:val="32"/>
          <w:szCs w:val="32"/>
        </w:rPr>
        <w:t>，危险废物执行《危险废物贮存污染控制标准》（GB18597-2023）中的标准；危险废物收集、贮存、运输执行《危险废物收集、贮存、运输技术规范》（HJ2025-2012）。</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三、项目实施要遵守国家环保法律法规。要统筹规划建设，做好工程与各项基础设施衔接工作。严格执行环境保护“三同时”制度</w:t>
      </w:r>
      <w:r>
        <w:rPr>
          <w:rFonts w:hint="eastAsia" w:ascii="仿宋_GB2312" w:hAnsi="宋体" w:eastAsia="仿宋_GB2312" w:cs="仿宋_GB2312"/>
          <w:color w:val="auto"/>
          <w:kern w:val="24"/>
          <w:sz w:val="32"/>
          <w:szCs w:val="32"/>
          <w:lang w:val="en-US" w:eastAsia="zh-CN"/>
        </w:rPr>
        <w:t>。</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四、项目按照《报告表》及上述要求建设完成后，依法组织环境保护设施竣工验收，通过竣工验收后，方可正式运行。</w:t>
      </w: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承德市生态环境局兴隆县分局</w:t>
      </w: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99"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经办人：</w:t>
      </w:r>
      <w:r>
        <w:rPr>
          <w:rFonts w:hint="eastAsia" w:ascii="仿宋_GB2312" w:eastAsia="仿宋_GB2312"/>
          <w:color w:val="auto"/>
          <w:sz w:val="32"/>
          <w:szCs w:val="32"/>
          <w:lang w:eastAsia="zh-CN"/>
        </w:rPr>
        <w:t>刘文月</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联系电话：0314—5055208</w:t>
      </w:r>
    </w:p>
    <w:tbl>
      <w:tblPr>
        <w:tblStyle w:val="6"/>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jc w:val="center"/>
        </w:trPr>
        <w:tc>
          <w:tcPr>
            <w:tcW w:w="8844" w:type="dxa"/>
            <w:tcBorders>
              <w:tl2br w:val="nil"/>
              <w:tr2bl w:val="nil"/>
            </w:tcBorders>
            <w:noWrap w:val="0"/>
            <w:vAlign w:val="top"/>
          </w:tcPr>
          <w:p>
            <w:pPr>
              <w:pStyle w:val="4"/>
              <w:keepNext w:val="0"/>
              <w:keepLines w:val="0"/>
              <w:pageBreakBefore w:val="0"/>
              <w:widowControl w:val="0"/>
              <w:kinsoku/>
              <w:wordWrap/>
              <w:overflowPunct/>
              <w:topLinePunct w:val="0"/>
              <w:autoSpaceDE/>
              <w:autoSpaceDN/>
              <w:bidi w:val="0"/>
              <w:spacing w:line="599" w:lineRule="exact"/>
              <w:ind w:left="0" w:leftChars="0" w:firstLine="280" w:firstLineChars="100"/>
              <w:jc w:val="both"/>
              <w:textAlignment w:val="auto"/>
              <w:rPr>
                <w:rFonts w:hint="eastAsia" w:ascii="仿宋_GB2312" w:hAnsi="仿宋_GB2312" w:eastAsia="仿宋_GB2312" w:cs="仿宋_GB2312"/>
                <w:color w:val="auto"/>
                <w:sz w:val="32"/>
                <w:szCs w:val="32"/>
                <w:vertAlign w:val="baseline"/>
              </w:rPr>
            </w:pPr>
            <w:r>
              <w:rPr>
                <w:rFonts w:hint="eastAsia" w:ascii="仿宋_GB2312" w:eastAsia="仿宋_GB2312"/>
                <w:color w:val="auto"/>
                <w:sz w:val="28"/>
                <w:szCs w:val="28"/>
              </w:rPr>
              <w:t>抄送：执法</w:t>
            </w:r>
            <w:r>
              <w:rPr>
                <w:rFonts w:hint="eastAsia" w:ascii="仿宋_GB2312" w:eastAsia="仿宋_GB2312"/>
                <w:color w:val="auto"/>
                <w:sz w:val="28"/>
                <w:szCs w:val="28"/>
                <w:lang w:eastAsia="zh-CN"/>
              </w:rPr>
              <w:t>调度指挥中心</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l2br w:val="nil"/>
              <w:tr2bl w:val="nil"/>
            </w:tcBorders>
            <w:noWrap w:val="0"/>
            <w:vAlign w:val="top"/>
          </w:tcPr>
          <w:p>
            <w:pPr>
              <w:pStyle w:val="4"/>
              <w:keepNext w:val="0"/>
              <w:keepLines w:val="0"/>
              <w:pageBreakBefore w:val="0"/>
              <w:widowControl w:val="0"/>
              <w:kinsoku/>
              <w:wordWrap/>
              <w:overflowPunct/>
              <w:topLinePunct w:val="0"/>
              <w:autoSpaceDE/>
              <w:autoSpaceDN/>
              <w:bidi w:val="0"/>
              <w:spacing w:line="599" w:lineRule="exact"/>
              <w:ind w:left="0" w:leftChars="0" w:firstLine="280" w:firstLineChars="100"/>
              <w:jc w:val="both"/>
              <w:textAlignment w:val="auto"/>
              <w:rPr>
                <w:rFonts w:hint="eastAsia" w:ascii="仿宋_GB2312" w:hAnsi="仿宋_GB2312" w:eastAsia="仿宋_GB2312" w:cs="仿宋_GB2312"/>
                <w:color w:val="auto"/>
                <w:sz w:val="32"/>
                <w:szCs w:val="32"/>
                <w:vertAlign w:val="baseline"/>
              </w:rPr>
            </w:pPr>
            <w:r>
              <w:rPr>
                <w:rFonts w:hint="eastAsia" w:ascii="仿宋_GB2312" w:eastAsia="仿宋_GB2312"/>
                <w:color w:val="auto"/>
                <w:sz w:val="28"/>
                <w:szCs w:val="28"/>
              </w:rPr>
              <w:t>承德市</w:t>
            </w:r>
            <w:r>
              <w:rPr>
                <w:rFonts w:hint="eastAsia" w:ascii="仿宋_GB2312" w:eastAsia="仿宋_GB2312"/>
                <w:color w:val="auto"/>
                <w:sz w:val="28"/>
                <w:szCs w:val="28"/>
                <w:lang w:eastAsia="zh-CN"/>
              </w:rPr>
              <w:t>生态环境</w:t>
            </w:r>
            <w:r>
              <w:rPr>
                <w:rFonts w:hint="eastAsia" w:ascii="仿宋_GB2312" w:eastAsia="仿宋_GB2312"/>
                <w:color w:val="auto"/>
                <w:sz w:val="28"/>
                <w:szCs w:val="28"/>
              </w:rPr>
              <w:t xml:space="preserve">局兴隆县分局办公室    </w:t>
            </w:r>
            <w:r>
              <w:rPr>
                <w:rFonts w:hint="eastAsia" w:ascii="仿宋_GB2312" w:eastAsia="仿宋_GB2312"/>
                <w:color w:val="auto"/>
                <w:sz w:val="28"/>
                <w:szCs w:val="28"/>
                <w:lang w:val="en-US" w:eastAsia="zh-CN"/>
              </w:rPr>
              <w:t xml:space="preserve">  </w:t>
            </w:r>
            <w:bookmarkStart w:id="2" w:name="_GoBack"/>
            <w:bookmarkEnd w:id="2"/>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日印发</w:t>
            </w:r>
          </w:p>
        </w:tc>
      </w:tr>
    </w:tbl>
    <w:p>
      <w:pPr>
        <w:spacing w:line="400" w:lineRule="exact"/>
        <w:jc w:val="left"/>
        <w:rPr>
          <w:rFonts w:ascii="仿宋_GB2312" w:eastAsia="仿宋_GB2312"/>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GFjNzNjOTVkZDIyM2VjMjgxZTQzMmNlYzc4ZmUifQ=="/>
  </w:docVars>
  <w:rsids>
    <w:rsidRoot w:val="00000000"/>
    <w:rsid w:val="00270BE1"/>
    <w:rsid w:val="01EB6CDE"/>
    <w:rsid w:val="0285454C"/>
    <w:rsid w:val="02C76F84"/>
    <w:rsid w:val="02E92B06"/>
    <w:rsid w:val="047A784F"/>
    <w:rsid w:val="04AA2CDB"/>
    <w:rsid w:val="05797725"/>
    <w:rsid w:val="0682491C"/>
    <w:rsid w:val="06AD6562"/>
    <w:rsid w:val="086E73A3"/>
    <w:rsid w:val="0A152F67"/>
    <w:rsid w:val="0A243623"/>
    <w:rsid w:val="0BD42F0C"/>
    <w:rsid w:val="0BD87233"/>
    <w:rsid w:val="0C460641"/>
    <w:rsid w:val="0DAF2ACB"/>
    <w:rsid w:val="0DB00467"/>
    <w:rsid w:val="0F0E3698"/>
    <w:rsid w:val="10E97867"/>
    <w:rsid w:val="1220326C"/>
    <w:rsid w:val="155C2C83"/>
    <w:rsid w:val="16112265"/>
    <w:rsid w:val="16251D26"/>
    <w:rsid w:val="178169D1"/>
    <w:rsid w:val="191915B7"/>
    <w:rsid w:val="1A2972F9"/>
    <w:rsid w:val="1C237D16"/>
    <w:rsid w:val="1D087C8C"/>
    <w:rsid w:val="1E08049C"/>
    <w:rsid w:val="1FAB2F80"/>
    <w:rsid w:val="1FF71F26"/>
    <w:rsid w:val="240864B0"/>
    <w:rsid w:val="25EE74F5"/>
    <w:rsid w:val="272770EE"/>
    <w:rsid w:val="27DA3C60"/>
    <w:rsid w:val="27E2526A"/>
    <w:rsid w:val="284B2E0F"/>
    <w:rsid w:val="28B90DD1"/>
    <w:rsid w:val="29915724"/>
    <w:rsid w:val="2B807273"/>
    <w:rsid w:val="2C2726EA"/>
    <w:rsid w:val="2C610E53"/>
    <w:rsid w:val="2D157E8F"/>
    <w:rsid w:val="2D3D2E98"/>
    <w:rsid w:val="2E6C3ADF"/>
    <w:rsid w:val="2F356EC8"/>
    <w:rsid w:val="31E0281A"/>
    <w:rsid w:val="31ED3189"/>
    <w:rsid w:val="339C6C14"/>
    <w:rsid w:val="33D32139"/>
    <w:rsid w:val="34031F48"/>
    <w:rsid w:val="34D94374"/>
    <w:rsid w:val="35B568FE"/>
    <w:rsid w:val="36C22769"/>
    <w:rsid w:val="382920B3"/>
    <w:rsid w:val="383C3E8E"/>
    <w:rsid w:val="39DA0BCD"/>
    <w:rsid w:val="3B2E0A9A"/>
    <w:rsid w:val="3B96663F"/>
    <w:rsid w:val="3C1B7851"/>
    <w:rsid w:val="3C876160"/>
    <w:rsid w:val="3E82485B"/>
    <w:rsid w:val="3FDF2BC7"/>
    <w:rsid w:val="40267F92"/>
    <w:rsid w:val="40B01F51"/>
    <w:rsid w:val="41A70B62"/>
    <w:rsid w:val="432D2975"/>
    <w:rsid w:val="4531066E"/>
    <w:rsid w:val="45F408CE"/>
    <w:rsid w:val="46A81AC6"/>
    <w:rsid w:val="4B3F0159"/>
    <w:rsid w:val="4C4803AA"/>
    <w:rsid w:val="4C697730"/>
    <w:rsid w:val="4D107905"/>
    <w:rsid w:val="4D7C7519"/>
    <w:rsid w:val="4E6F321E"/>
    <w:rsid w:val="4F3F2E1E"/>
    <w:rsid w:val="4F561F16"/>
    <w:rsid w:val="4F985C79"/>
    <w:rsid w:val="4FD944C5"/>
    <w:rsid w:val="50113369"/>
    <w:rsid w:val="53B37937"/>
    <w:rsid w:val="54102FDB"/>
    <w:rsid w:val="54563E27"/>
    <w:rsid w:val="54A86D6F"/>
    <w:rsid w:val="55BB3A03"/>
    <w:rsid w:val="56007B44"/>
    <w:rsid w:val="56091A90"/>
    <w:rsid w:val="57F73C83"/>
    <w:rsid w:val="58EA3039"/>
    <w:rsid w:val="5AA23E6A"/>
    <w:rsid w:val="5B115D73"/>
    <w:rsid w:val="5B94004E"/>
    <w:rsid w:val="5D130598"/>
    <w:rsid w:val="5DBF512A"/>
    <w:rsid w:val="5E477161"/>
    <w:rsid w:val="5E9D3853"/>
    <w:rsid w:val="5EF1736D"/>
    <w:rsid w:val="5F382F6C"/>
    <w:rsid w:val="5F8A72CC"/>
    <w:rsid w:val="60200102"/>
    <w:rsid w:val="6029613B"/>
    <w:rsid w:val="60D72C53"/>
    <w:rsid w:val="63CE4319"/>
    <w:rsid w:val="63D03EDA"/>
    <w:rsid w:val="64354398"/>
    <w:rsid w:val="64840FA3"/>
    <w:rsid w:val="65393A14"/>
    <w:rsid w:val="654123F2"/>
    <w:rsid w:val="66193B53"/>
    <w:rsid w:val="665F752A"/>
    <w:rsid w:val="6702639C"/>
    <w:rsid w:val="6716738C"/>
    <w:rsid w:val="67B24458"/>
    <w:rsid w:val="68D92956"/>
    <w:rsid w:val="69483B13"/>
    <w:rsid w:val="6A9260A0"/>
    <w:rsid w:val="6C114071"/>
    <w:rsid w:val="6C1E7E9E"/>
    <w:rsid w:val="6C401660"/>
    <w:rsid w:val="6DD30D76"/>
    <w:rsid w:val="6DE0074F"/>
    <w:rsid w:val="6E230F4C"/>
    <w:rsid w:val="6FE335BD"/>
    <w:rsid w:val="70B0102E"/>
    <w:rsid w:val="70EB650A"/>
    <w:rsid w:val="713F5F52"/>
    <w:rsid w:val="71C953EC"/>
    <w:rsid w:val="71E55C65"/>
    <w:rsid w:val="72907369"/>
    <w:rsid w:val="73125A38"/>
    <w:rsid w:val="73560140"/>
    <w:rsid w:val="757E5842"/>
    <w:rsid w:val="75C876DF"/>
    <w:rsid w:val="77160C42"/>
    <w:rsid w:val="771F319A"/>
    <w:rsid w:val="78C60DC9"/>
    <w:rsid w:val="79F15A20"/>
    <w:rsid w:val="7CE473DD"/>
    <w:rsid w:val="7CEB5BE3"/>
    <w:rsid w:val="7EA3317E"/>
    <w:rsid w:val="7EEF64CE"/>
    <w:rsid w:val="7F995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Lines="50" w:afterLines="50" w:line="576" w:lineRule="auto"/>
      <w:outlineLvl w:val="0"/>
    </w:pPr>
    <w:rPr>
      <w:rFonts w:eastAsia="黑体"/>
      <w:b/>
      <w:bCs/>
      <w:kern w:val="44"/>
      <w:szCs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Normal Indent"/>
    <w:basedOn w:val="1"/>
    <w:autoRedefine/>
    <w:qFormat/>
    <w:uiPriority w:val="99"/>
    <w:pPr>
      <w:ind w:firstLine="420"/>
    </w:pPr>
  </w:style>
  <w:style w:type="table" w:styleId="6">
    <w:name w:val="Table Grid"/>
    <w:basedOn w:val="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样式 样式 四号 左侧:  1.53 厘米 + 首行缩进:  2 字符 + 居中 左侧:  2 字符 首行缩进:  2..."/>
    <w:basedOn w:val="9"/>
    <w:autoRedefine/>
    <w:qFormat/>
    <w:uiPriority w:val="0"/>
    <w:pPr>
      <w:adjustRightInd w:val="0"/>
      <w:spacing w:line="240" w:lineRule="auto"/>
      <w:ind w:left="200" w:leftChars="200" w:firstLine="0" w:firstLineChars="0"/>
      <w:jc w:val="center"/>
    </w:pPr>
    <w:rPr>
      <w:w w:val="90"/>
      <w:sz w:val="28"/>
    </w:rPr>
  </w:style>
  <w:style w:type="paragraph" w:customStyle="1" w:styleId="9">
    <w:name w:val="样式 样式 四号 左侧:  1.53 厘米 + 首行缩进:  2 字符"/>
    <w:basedOn w:val="10"/>
    <w:autoRedefine/>
    <w:qFormat/>
    <w:uiPriority w:val="0"/>
    <w:pPr>
      <w:ind w:left="200" w:leftChars="200"/>
    </w:pPr>
    <w:rPr>
      <w:szCs w:val="20"/>
    </w:rPr>
  </w:style>
  <w:style w:type="paragraph" w:customStyle="1" w:styleId="10">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bmp"/><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1098</Words>
  <Characters>1163</Characters>
  <Lines>0</Lines>
  <Paragraphs>0</Paragraphs>
  <TotalTime>0</TotalTime>
  <ScaleCrop>false</ScaleCrop>
  <LinksUpToDate>false</LinksUpToDate>
  <CharactersWithSpaces>1280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Jacaranda1411039490</cp:lastModifiedBy>
  <cp:lastPrinted>2023-12-21T01:55:00Z</cp:lastPrinted>
  <dcterms:modified xsi:type="dcterms:W3CDTF">2024-01-26T03:43:09Z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51DCE457B74E4BCDAB08363D8E879C33</vt:lpwstr>
  </property>
</Properties>
</file>