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7"/>
        <w:rPr>
          <w:rFonts w:ascii="Times New Roman"/>
          <w:sz w:val="20"/>
        </w:rPr>
      </w:pPr>
    </w:p>
    <w:p>
      <w:pPr>
        <w:pStyle w:val="7"/>
        <w:rPr>
          <w:rFonts w:ascii="Times New Roman"/>
          <w:sz w:val="20"/>
        </w:rPr>
      </w:pPr>
    </w:p>
    <w:p>
      <w:pPr>
        <w:pStyle w:val="7"/>
        <w:spacing w:line="360" w:lineRule="auto"/>
        <w:rPr>
          <w:rFonts w:ascii="Times New Roman"/>
          <w:sz w:val="20"/>
        </w:rPr>
      </w:pPr>
    </w:p>
    <w:p>
      <w:pPr>
        <w:pStyle w:val="7"/>
        <w:spacing w:before="2" w:line="360" w:lineRule="auto"/>
        <w:rPr>
          <w:rFonts w:ascii="Times New Roman"/>
          <w:sz w:val="21"/>
        </w:rPr>
      </w:pPr>
    </w:p>
    <w:p>
      <w:pPr>
        <w:spacing w:line="360" w:lineRule="auto"/>
        <w:rPr>
          <w:b/>
          <w:bCs/>
          <w:sz w:val="36"/>
          <w:szCs w:val="36"/>
        </w:rPr>
      </w:pPr>
      <w:r>
        <w:rPr>
          <w:rFonts w:hint="eastAsia"/>
          <w:b/>
          <w:bCs/>
          <w:sz w:val="72"/>
          <w:szCs w:val="72"/>
        </w:rPr>
        <w:t>建设项目环境影响报告表</w:t>
      </w:r>
    </w:p>
    <w:p>
      <w:pPr>
        <w:spacing w:line="360" w:lineRule="auto"/>
        <w:rPr>
          <w:b/>
          <w:bCs/>
          <w:sz w:val="44"/>
          <w:szCs w:val="44"/>
        </w:rPr>
      </w:pPr>
      <w:r>
        <w:rPr>
          <w:rFonts w:hint="eastAsia"/>
          <w:b/>
          <w:bCs/>
          <w:sz w:val="44"/>
          <w:szCs w:val="44"/>
        </w:rPr>
        <w:t>（污染影响类）</w:t>
      </w:r>
    </w:p>
    <w:p>
      <w:pPr>
        <w:spacing w:line="360" w:lineRule="auto"/>
        <w:rPr>
          <w:sz w:val="36"/>
          <w:szCs w:val="36"/>
        </w:rPr>
      </w:pPr>
    </w:p>
    <w:p>
      <w:pPr>
        <w:rPr>
          <w:sz w:val="36"/>
          <w:szCs w:val="36"/>
        </w:rPr>
      </w:pPr>
    </w:p>
    <w:p>
      <w:pPr>
        <w:rPr>
          <w:sz w:val="36"/>
          <w:szCs w:val="36"/>
        </w:rPr>
      </w:pPr>
    </w:p>
    <w:p>
      <w:pPr>
        <w:jc w:val="both"/>
        <w:rPr>
          <w:sz w:val="36"/>
          <w:szCs w:val="36"/>
        </w:rPr>
      </w:pPr>
    </w:p>
    <w:p>
      <w:pPr>
        <w:jc w:val="both"/>
        <w:rPr>
          <w:sz w:val="36"/>
          <w:szCs w:val="36"/>
        </w:rPr>
      </w:pPr>
    </w:p>
    <w:p>
      <w:pPr>
        <w:pStyle w:val="5"/>
      </w:pPr>
    </w:p>
    <w:p>
      <w:pPr>
        <w:keepNext w:val="0"/>
        <w:keepLines w:val="0"/>
        <w:pageBreakBefore w:val="0"/>
        <w:widowControl w:val="0"/>
        <w:kinsoku/>
        <w:wordWrap/>
        <w:overflowPunct/>
        <w:topLinePunct w:val="0"/>
        <w:autoSpaceDE w:val="0"/>
        <w:autoSpaceDN w:val="0"/>
        <w:bidi w:val="0"/>
        <w:adjustRightInd/>
        <w:snapToGrid/>
        <w:spacing w:line="480" w:lineRule="auto"/>
        <w:jc w:val="both"/>
        <w:textAlignment w:val="auto"/>
        <w:rPr>
          <w:rFonts w:ascii="宋体" w:hAnsi="宋体"/>
          <w:b/>
          <w:bCs/>
          <w:sz w:val="32"/>
          <w:szCs w:val="32"/>
          <w:u w:val="single"/>
        </w:rPr>
      </w:pPr>
      <w:r>
        <w:rPr>
          <w:rFonts w:hint="eastAsia" w:ascii="宋体" w:hAnsi="宋体"/>
          <w:b/>
          <w:bCs/>
          <w:sz w:val="32"/>
          <w:szCs w:val="32"/>
        </w:rPr>
        <w:t>项目名称：</w:t>
      </w:r>
      <w:r>
        <w:rPr>
          <w:rFonts w:hint="eastAsia" w:ascii="宋体" w:hAnsi="宋体"/>
          <w:b/>
          <w:bCs/>
          <w:sz w:val="32"/>
          <w:szCs w:val="32"/>
          <w:u w:val="single"/>
          <w:lang w:val="en-US" w:eastAsia="zh-CN"/>
        </w:rPr>
        <w:t>河北吉明华亿建筑安装工程有限公司兴隆县分公司首环高速承平段TJ1标碎石厂项目</w:t>
      </w:r>
    </w:p>
    <w:p>
      <w:pPr>
        <w:spacing w:line="480" w:lineRule="auto"/>
        <w:jc w:val="both"/>
        <w:rPr>
          <w:rFonts w:hint="eastAsia" w:ascii="宋体" w:hAnsi="宋体" w:eastAsia="宋体"/>
          <w:b/>
          <w:bCs/>
          <w:sz w:val="32"/>
          <w:szCs w:val="32"/>
          <w:u w:val="single"/>
          <w:lang w:eastAsia="zh-CN"/>
        </w:rPr>
      </w:pPr>
      <w:r>
        <w:rPr>
          <w:rFonts w:hint="eastAsia" w:ascii="宋体" w:hAnsi="宋体"/>
          <w:b/>
          <w:bCs/>
          <w:sz w:val="32"/>
          <w:szCs w:val="32"/>
        </w:rPr>
        <w:t>建设单位（盖章）：</w:t>
      </w:r>
      <w:r>
        <w:rPr>
          <w:rFonts w:hint="eastAsia" w:ascii="宋体" w:hAnsi="宋体"/>
          <w:b/>
          <w:bCs/>
          <w:sz w:val="32"/>
          <w:szCs w:val="32"/>
          <w:u w:val="single"/>
          <w:lang w:val="en-US" w:eastAsia="zh-CN"/>
        </w:rPr>
        <w:t>河北吉明华亿建筑安装工程有限公司兴隆县分公司</w:t>
      </w:r>
    </w:p>
    <w:p>
      <w:pPr>
        <w:spacing w:line="480" w:lineRule="auto"/>
        <w:jc w:val="both"/>
        <w:rPr>
          <w:rFonts w:ascii="宋体" w:hAnsi="宋体"/>
          <w:b/>
          <w:bCs/>
          <w:sz w:val="32"/>
          <w:szCs w:val="32"/>
          <w:u w:val="single"/>
          <w:lang w:val="en-US"/>
        </w:rPr>
      </w:pPr>
      <w:r>
        <w:rPr>
          <w:rFonts w:hint="eastAsia" w:ascii="宋体" w:hAnsi="宋体"/>
          <w:b/>
          <w:bCs/>
          <w:sz w:val="32"/>
          <w:szCs w:val="32"/>
        </w:rPr>
        <w:t>编制日期：</w:t>
      </w:r>
      <w:r>
        <w:rPr>
          <w:rFonts w:cs="Times New Roman"/>
          <w:b/>
          <w:bCs/>
          <w:sz w:val="32"/>
          <w:szCs w:val="32"/>
          <w:u w:val="single"/>
          <w:lang w:val="en-US"/>
        </w:rPr>
        <w:t>202</w:t>
      </w:r>
      <w:r>
        <w:rPr>
          <w:rFonts w:hint="eastAsia" w:cs="Times New Roman"/>
          <w:b/>
          <w:bCs/>
          <w:sz w:val="32"/>
          <w:szCs w:val="32"/>
          <w:u w:val="single"/>
          <w:lang w:val="en-US" w:eastAsia="zh-CN"/>
        </w:rPr>
        <w:t>2</w:t>
      </w:r>
      <w:r>
        <w:rPr>
          <w:rFonts w:cs="Times New Roman"/>
          <w:b/>
          <w:bCs/>
          <w:sz w:val="32"/>
          <w:szCs w:val="32"/>
          <w:u w:val="single"/>
          <w:lang w:val="en-US"/>
        </w:rPr>
        <w:t>年</w:t>
      </w:r>
      <w:r>
        <w:rPr>
          <w:rFonts w:hint="eastAsia" w:cs="Times New Roman"/>
          <w:b/>
          <w:bCs/>
          <w:sz w:val="32"/>
          <w:szCs w:val="32"/>
          <w:u w:val="single"/>
          <w:lang w:val="en-US" w:eastAsia="zh-CN"/>
        </w:rPr>
        <w:t>8</w:t>
      </w:r>
      <w:r>
        <w:rPr>
          <w:rFonts w:cs="Times New Roman"/>
          <w:b/>
          <w:bCs/>
          <w:sz w:val="32"/>
          <w:szCs w:val="32"/>
          <w:u w:val="single"/>
          <w:lang w:val="en-US"/>
        </w:rPr>
        <w:t>月</w:t>
      </w:r>
    </w:p>
    <w:p>
      <w:pPr>
        <w:spacing w:line="360" w:lineRule="auto"/>
        <w:rPr>
          <w:rFonts w:ascii="宋体" w:hAnsi="宋体"/>
          <w:b/>
          <w:bCs/>
          <w:sz w:val="36"/>
          <w:szCs w:val="36"/>
          <w:u w:val="thick"/>
        </w:rPr>
      </w:pPr>
    </w:p>
    <w:p>
      <w:pPr>
        <w:rPr>
          <w:sz w:val="36"/>
          <w:szCs w:val="36"/>
        </w:rPr>
      </w:pPr>
    </w:p>
    <w:p>
      <w:pPr>
        <w:rPr>
          <w:sz w:val="36"/>
          <w:szCs w:val="36"/>
        </w:rPr>
      </w:pPr>
    </w:p>
    <w:p>
      <w:pPr>
        <w:rPr>
          <w:sz w:val="36"/>
          <w:szCs w:val="36"/>
        </w:rPr>
      </w:pPr>
    </w:p>
    <w:p>
      <w:pPr>
        <w:pStyle w:val="5"/>
      </w:pPr>
    </w:p>
    <w:p>
      <w:pPr>
        <w:spacing w:line="360" w:lineRule="auto"/>
        <w:rPr>
          <w:rFonts w:eastAsia="Times New Roman"/>
          <w:u w:val="single"/>
        </w:rPr>
        <w:sectPr>
          <w:footerReference r:id="rId5" w:type="default"/>
          <w:footerReference r:id="rId6" w:type="even"/>
          <w:pgSz w:w="11850" w:h="16783"/>
          <w:pgMar w:top="1440" w:right="1440" w:bottom="1440" w:left="1440" w:header="720" w:footer="1043" w:gutter="0"/>
          <w:pgNumType w:start="3"/>
          <w:cols w:space="720" w:num="1"/>
        </w:sectPr>
      </w:pPr>
      <w:r>
        <w:rPr>
          <w:rFonts w:hint="eastAsia" w:ascii="宋体" w:hAnsi="宋体"/>
          <w:b/>
          <w:bCs/>
          <w:sz w:val="36"/>
          <w:szCs w:val="36"/>
        </w:rPr>
        <w:t>中华人民共和国生态环境部制</w:t>
      </w:r>
    </w:p>
    <w:p>
      <w:pPr>
        <w:pStyle w:val="3"/>
        <w:spacing w:after="120"/>
        <w:rPr>
          <w:sz w:val="21"/>
        </w:rPr>
      </w:pPr>
      <w:r>
        <w:rPr>
          <w:rFonts w:hint="eastAsia"/>
        </w:rPr>
        <w:t>一、建设项目基本情况</w:t>
      </w:r>
    </w:p>
    <w:tbl>
      <w:tblPr>
        <w:tblStyle w:val="15"/>
        <w:tblW w:w="0" w:type="auto"/>
        <w:tblInd w:w="1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43"/>
        <w:gridCol w:w="2274"/>
        <w:gridCol w:w="1788"/>
        <w:gridCol w:w="425"/>
        <w:gridCol w:w="1143"/>
        <w:gridCol w:w="14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743" w:type="dxa"/>
            <w:tcBorders>
              <w:bottom w:val="single" w:color="000000" w:sz="4" w:space="0"/>
              <w:right w:val="single" w:color="000000" w:sz="4" w:space="0"/>
            </w:tcBorders>
            <w:vAlign w:val="center"/>
          </w:tcPr>
          <w:p>
            <w:r>
              <w:t>建设项目名称</w:t>
            </w:r>
          </w:p>
        </w:tc>
        <w:tc>
          <w:tcPr>
            <w:tcW w:w="7125" w:type="dxa"/>
            <w:gridSpan w:val="5"/>
            <w:tcBorders>
              <w:left w:val="single" w:color="000000" w:sz="4" w:space="0"/>
              <w:bottom w:val="single" w:color="000000" w:sz="4" w:space="0"/>
            </w:tcBorders>
            <w:vAlign w:val="center"/>
          </w:tcPr>
          <w:p>
            <w:r>
              <w:rPr>
                <w:rFonts w:hint="eastAsia"/>
                <w:color w:val="auto"/>
                <w:sz w:val="24"/>
                <w:szCs w:val="24"/>
                <w:lang w:val="en-US" w:eastAsia="zh-CN"/>
              </w:rPr>
              <w:t>河北吉明华亿建筑安装工程有限公司兴隆县分公司首环高速承平段TJ1标碎石厂项目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743" w:type="dxa"/>
            <w:tcBorders>
              <w:top w:val="single" w:color="000000" w:sz="4" w:space="0"/>
              <w:bottom w:val="single" w:color="000000" w:sz="4" w:space="0"/>
              <w:right w:val="single" w:color="000000" w:sz="4" w:space="0"/>
            </w:tcBorders>
            <w:vAlign w:val="center"/>
          </w:tcPr>
          <w:p>
            <w:r>
              <w:rPr>
                <w:color w:val="auto"/>
              </w:rPr>
              <w:t>项目代码</w:t>
            </w:r>
          </w:p>
        </w:tc>
        <w:tc>
          <w:tcPr>
            <w:tcW w:w="7125" w:type="dxa"/>
            <w:gridSpan w:val="5"/>
            <w:tcBorders>
              <w:top w:val="single" w:color="000000" w:sz="4" w:space="0"/>
              <w:left w:val="single" w:color="000000" w:sz="4" w:space="0"/>
              <w:bottom w:val="single" w:color="000000" w:sz="4" w:space="0"/>
            </w:tcBorders>
            <w:vAlign w:val="center"/>
          </w:tcPr>
          <w:p>
            <w:pPr>
              <w:rPr>
                <w:rFonts w:hint="default" w:eastAsia="宋体"/>
                <w:lang w:val="en-US" w:eastAsia="zh-CN"/>
              </w:rPr>
            </w:pPr>
            <w:r>
              <w:rPr>
                <w:rFonts w:hint="eastAsia"/>
                <w:lang w:val="en-US" w:eastAsia="zh-CN"/>
              </w:rPr>
              <w:t>2205-130822-89-01-203080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743" w:type="dxa"/>
            <w:tcBorders>
              <w:top w:val="single" w:color="000000" w:sz="4" w:space="0"/>
              <w:bottom w:val="single" w:color="000000" w:sz="4" w:space="0"/>
              <w:right w:val="single" w:color="000000" w:sz="4" w:space="0"/>
            </w:tcBorders>
            <w:vAlign w:val="center"/>
          </w:tcPr>
          <w:p>
            <w:r>
              <w:t>建设单位联系人</w:t>
            </w:r>
          </w:p>
        </w:tc>
        <w:tc>
          <w:tcPr>
            <w:tcW w:w="2274" w:type="dxa"/>
            <w:tcBorders>
              <w:top w:val="single" w:color="000000" w:sz="4" w:space="0"/>
              <w:left w:val="single" w:color="000000" w:sz="4" w:space="0"/>
              <w:bottom w:val="single" w:color="000000" w:sz="4" w:space="0"/>
              <w:right w:val="single" w:color="000000" w:sz="4" w:space="0"/>
            </w:tcBorders>
            <w:vAlign w:val="center"/>
          </w:tcPr>
          <w:p>
            <w:pPr>
              <w:rPr>
                <w:rFonts w:hint="eastAsia" w:eastAsia="宋体"/>
                <w:lang w:val="en-US" w:eastAsia="zh-CN"/>
              </w:rPr>
            </w:pPr>
            <w:r>
              <w:rPr>
                <w:rFonts w:hint="eastAsia"/>
                <w:lang w:val="en-US" w:eastAsia="zh-CN"/>
              </w:rPr>
              <w:t>李永强</w:t>
            </w:r>
          </w:p>
        </w:tc>
        <w:tc>
          <w:tcPr>
            <w:tcW w:w="2213" w:type="dxa"/>
            <w:gridSpan w:val="2"/>
            <w:tcBorders>
              <w:top w:val="single" w:color="000000" w:sz="4" w:space="0"/>
              <w:left w:val="single" w:color="000000" w:sz="4" w:space="0"/>
              <w:bottom w:val="single" w:color="000000" w:sz="4" w:space="0"/>
              <w:right w:val="single" w:color="000000" w:sz="4" w:space="0"/>
            </w:tcBorders>
            <w:vAlign w:val="center"/>
          </w:tcPr>
          <w:p>
            <w:r>
              <w:t>联系方式</w:t>
            </w:r>
          </w:p>
        </w:tc>
        <w:tc>
          <w:tcPr>
            <w:tcW w:w="2638" w:type="dxa"/>
            <w:gridSpan w:val="2"/>
            <w:tcBorders>
              <w:top w:val="single" w:color="000000" w:sz="4" w:space="0"/>
              <w:left w:val="single" w:color="000000" w:sz="4" w:space="0"/>
              <w:bottom w:val="single" w:color="000000" w:sz="4" w:space="0"/>
            </w:tcBorders>
            <w:vAlign w:val="center"/>
          </w:tcPr>
          <w:p>
            <w:pPr>
              <w:rPr>
                <w:lang w:val="en-US"/>
              </w:rPr>
            </w:pPr>
            <w:r>
              <w:rPr>
                <w:rFonts w:hint="eastAsia"/>
                <w:lang w:val="en-US"/>
              </w:rPr>
              <w:t>17268770968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7" w:hRule="atLeast"/>
        </w:trPr>
        <w:tc>
          <w:tcPr>
            <w:tcW w:w="1743" w:type="dxa"/>
            <w:tcBorders>
              <w:top w:val="single" w:color="000000" w:sz="4" w:space="0"/>
              <w:bottom w:val="single" w:color="000000" w:sz="4" w:space="0"/>
              <w:right w:val="single" w:color="000000" w:sz="4" w:space="0"/>
            </w:tcBorders>
            <w:vAlign w:val="center"/>
          </w:tcPr>
          <w:p>
            <w:r>
              <w:t>建设地点</w:t>
            </w:r>
          </w:p>
        </w:tc>
        <w:tc>
          <w:tcPr>
            <w:tcW w:w="7125" w:type="dxa"/>
            <w:gridSpan w:val="5"/>
            <w:tcBorders>
              <w:top w:val="single" w:color="000000" w:sz="4" w:space="0"/>
              <w:left w:val="single" w:color="000000" w:sz="4" w:space="0"/>
              <w:bottom w:val="single" w:color="000000" w:sz="4" w:space="0"/>
            </w:tcBorders>
            <w:vAlign w:val="center"/>
          </w:tcPr>
          <w:p>
            <w:pPr>
              <w:rPr>
                <w:lang w:val="en-US"/>
              </w:rPr>
            </w:pPr>
            <w:r>
              <w:rPr>
                <w:rFonts w:hint="eastAsia" w:ascii="宋体" w:hAnsi="宋体" w:cs="宋体"/>
                <w:kern w:val="24"/>
                <w:sz w:val="24"/>
              </w:rPr>
              <w:t>河北省承德市兴隆县</w:t>
            </w:r>
            <w:r>
              <w:rPr>
                <w:rFonts w:hint="eastAsia" w:ascii="宋体" w:hAnsi="宋体" w:cs="宋体"/>
                <w:kern w:val="24"/>
                <w:sz w:val="24"/>
                <w:lang w:eastAsia="zh-CN"/>
              </w:rPr>
              <w:t>北营房</w:t>
            </w:r>
            <w:r>
              <w:rPr>
                <w:rFonts w:hint="eastAsia" w:ascii="宋体" w:hAnsi="宋体" w:cs="宋体"/>
                <w:kern w:val="24"/>
                <w:sz w:val="24"/>
              </w:rPr>
              <w:t>镇</w:t>
            </w:r>
            <w:r>
              <w:rPr>
                <w:rFonts w:hint="eastAsia" w:ascii="宋体" w:hAnsi="宋体" w:cs="宋体"/>
                <w:kern w:val="24"/>
                <w:sz w:val="24"/>
                <w:lang w:eastAsia="zh-CN"/>
              </w:rPr>
              <w:t>北营房</w:t>
            </w:r>
            <w:r>
              <w:rPr>
                <w:rFonts w:hint="eastAsia" w:ascii="宋体" w:hAnsi="宋体" w:cs="宋体"/>
                <w:kern w:val="24"/>
                <w:sz w:val="24"/>
              </w:rPr>
              <w:t>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743" w:type="dxa"/>
            <w:tcBorders>
              <w:top w:val="single" w:color="000000" w:sz="4" w:space="0"/>
              <w:bottom w:val="single" w:color="000000" w:sz="4" w:space="0"/>
              <w:right w:val="single" w:color="000000" w:sz="4" w:space="0"/>
            </w:tcBorders>
            <w:vAlign w:val="center"/>
          </w:tcPr>
          <w:p>
            <w:r>
              <w:t>地理坐标</w:t>
            </w:r>
          </w:p>
        </w:tc>
        <w:tc>
          <w:tcPr>
            <w:tcW w:w="7125" w:type="dxa"/>
            <w:gridSpan w:val="5"/>
            <w:tcBorders>
              <w:top w:val="single" w:color="000000" w:sz="4" w:space="0"/>
              <w:left w:val="single" w:color="000000" w:sz="4" w:space="0"/>
              <w:bottom w:val="single" w:color="000000" w:sz="4" w:space="0"/>
            </w:tcBorders>
            <w:vAlign w:val="center"/>
          </w:tcPr>
          <w:p>
            <w:r>
              <w:rPr>
                <w:color w:val="auto"/>
              </w:rPr>
              <w:t>（</w:t>
            </w:r>
            <w:r>
              <w:rPr>
                <w:color w:val="auto"/>
                <w:sz w:val="24"/>
              </w:rPr>
              <w:t>117°</w:t>
            </w:r>
            <w:r>
              <w:rPr>
                <w:rFonts w:hint="eastAsia"/>
                <w:color w:val="auto"/>
                <w:sz w:val="24"/>
                <w:lang w:val="en-US" w:eastAsia="zh-CN"/>
              </w:rPr>
              <w:t>40</w:t>
            </w:r>
            <w:r>
              <w:rPr>
                <w:color w:val="auto"/>
                <w:sz w:val="24"/>
              </w:rPr>
              <w:t>'</w:t>
            </w:r>
            <w:r>
              <w:rPr>
                <w:rFonts w:hint="eastAsia"/>
                <w:color w:val="auto"/>
                <w:sz w:val="24"/>
                <w:lang w:val="en-US" w:eastAsia="zh-CN"/>
              </w:rPr>
              <w:t>34.23</w:t>
            </w:r>
            <w:r>
              <w:rPr>
                <w:color w:val="auto"/>
                <w:sz w:val="24"/>
              </w:rPr>
              <w:t>"</w:t>
            </w:r>
            <w:r>
              <w:rPr>
                <w:color w:val="auto"/>
              </w:rPr>
              <w:t>，</w:t>
            </w:r>
            <w:r>
              <w:rPr>
                <w:color w:val="auto"/>
                <w:sz w:val="24"/>
              </w:rPr>
              <w:t>40°</w:t>
            </w:r>
            <w:r>
              <w:rPr>
                <w:rFonts w:hint="eastAsia"/>
                <w:color w:val="auto"/>
                <w:sz w:val="24"/>
                <w:lang w:val="en-US" w:eastAsia="zh-CN"/>
              </w:rPr>
              <w:t>34</w:t>
            </w:r>
            <w:r>
              <w:rPr>
                <w:color w:val="auto"/>
                <w:sz w:val="24"/>
              </w:rPr>
              <w:t>'</w:t>
            </w:r>
            <w:r>
              <w:rPr>
                <w:rFonts w:hint="eastAsia"/>
                <w:color w:val="auto"/>
                <w:sz w:val="24"/>
                <w:lang w:val="en-US" w:eastAsia="zh-CN"/>
              </w:rPr>
              <w:t>37.89</w:t>
            </w:r>
            <w:r>
              <w:rPr>
                <w:color w:val="auto"/>
                <w:sz w:val="24"/>
              </w:rPr>
              <w:t>"</w:t>
            </w:r>
            <w:r>
              <w:rPr>
                <w:color w:val="auto"/>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7" w:hRule="atLeast"/>
        </w:trPr>
        <w:tc>
          <w:tcPr>
            <w:tcW w:w="1743" w:type="dxa"/>
            <w:tcBorders>
              <w:top w:val="single" w:color="000000" w:sz="4" w:space="0"/>
              <w:bottom w:val="single" w:color="000000" w:sz="4" w:space="0"/>
              <w:right w:val="single" w:color="000000" w:sz="4" w:space="0"/>
            </w:tcBorders>
            <w:vAlign w:val="center"/>
          </w:tcPr>
          <w:p>
            <w:pPr>
              <w:rPr>
                <w:color w:val="auto"/>
              </w:rPr>
            </w:pPr>
            <w:r>
              <w:rPr>
                <w:color w:val="auto"/>
              </w:rPr>
              <w:t>国民经济行业</w:t>
            </w:r>
          </w:p>
          <w:p>
            <w:pPr>
              <w:rPr>
                <w:color w:val="auto"/>
              </w:rPr>
            </w:pPr>
            <w:r>
              <w:rPr>
                <w:color w:val="auto"/>
              </w:rPr>
              <w:t>类别</w:t>
            </w:r>
          </w:p>
        </w:tc>
        <w:tc>
          <w:tcPr>
            <w:tcW w:w="2274" w:type="dxa"/>
            <w:tcBorders>
              <w:top w:val="single" w:color="000000" w:sz="4" w:space="0"/>
              <w:left w:val="single" w:color="000000" w:sz="4" w:space="0"/>
              <w:bottom w:val="single" w:color="000000" w:sz="4" w:space="0"/>
              <w:right w:val="single" w:color="000000" w:sz="4" w:space="0"/>
            </w:tcBorders>
            <w:vAlign w:val="center"/>
          </w:tcPr>
          <w:p>
            <w:pPr>
              <w:rPr>
                <w:color w:val="auto"/>
              </w:rPr>
            </w:pPr>
            <w:r>
              <w:rPr>
                <w:rFonts w:hint="eastAsia"/>
                <w:color w:val="auto"/>
                <w:lang w:val="en-US"/>
              </w:rPr>
              <w:t>C</w:t>
            </w:r>
            <w:r>
              <w:rPr>
                <w:rFonts w:hint="eastAsia"/>
                <w:color w:val="auto"/>
                <w:lang w:val="en-US" w:eastAsia="zh-CN"/>
              </w:rPr>
              <w:t>3039</w:t>
            </w:r>
            <w:r>
              <w:rPr>
                <w:rFonts w:hint="eastAsia"/>
                <w:color w:val="auto"/>
                <w:lang w:eastAsia="zh-CN"/>
              </w:rPr>
              <w:t>其他建筑材料制造</w:t>
            </w:r>
          </w:p>
        </w:tc>
        <w:tc>
          <w:tcPr>
            <w:tcW w:w="2213" w:type="dxa"/>
            <w:gridSpan w:val="2"/>
            <w:tcBorders>
              <w:top w:val="single" w:color="000000" w:sz="4" w:space="0"/>
              <w:left w:val="single" w:color="000000" w:sz="4" w:space="0"/>
              <w:bottom w:val="single" w:color="000000" w:sz="4" w:space="0"/>
              <w:right w:val="single" w:color="000000" w:sz="4" w:space="0"/>
            </w:tcBorders>
            <w:vAlign w:val="center"/>
          </w:tcPr>
          <w:p>
            <w:pPr>
              <w:rPr>
                <w:color w:val="auto"/>
              </w:rPr>
            </w:pPr>
            <w:r>
              <w:rPr>
                <w:color w:val="auto"/>
              </w:rPr>
              <w:t>建设项目行业类别</w:t>
            </w:r>
          </w:p>
        </w:tc>
        <w:tc>
          <w:tcPr>
            <w:tcW w:w="2638" w:type="dxa"/>
            <w:gridSpan w:val="2"/>
            <w:tcBorders>
              <w:top w:val="single" w:color="000000" w:sz="4" w:space="0"/>
              <w:left w:val="single" w:color="000000" w:sz="4" w:space="0"/>
              <w:bottom w:val="single" w:color="000000" w:sz="4" w:space="0"/>
            </w:tcBorders>
            <w:vAlign w:val="center"/>
          </w:tcPr>
          <w:p>
            <w:pPr>
              <w:rPr>
                <w:color w:val="auto"/>
                <w:lang w:val="en-US"/>
              </w:rPr>
            </w:pPr>
            <w:r>
              <w:rPr>
                <w:rFonts w:hint="eastAsia" w:cs="Times New Roman"/>
                <w:color w:val="auto"/>
                <w:kern w:val="44"/>
              </w:rPr>
              <w:t>0</w:t>
            </w:r>
            <w:r>
              <w:rPr>
                <w:rFonts w:hint="eastAsia" w:cs="Times New Roman"/>
                <w:color w:val="auto"/>
                <w:kern w:val="44"/>
                <w:lang w:val="en-US" w:eastAsia="zh-CN"/>
              </w:rPr>
              <w:t>56</w:t>
            </w:r>
            <w:r>
              <w:rPr>
                <w:rFonts w:hint="eastAsia" w:cs="Times New Roman"/>
                <w:color w:val="auto"/>
                <w:kern w:val="44"/>
              </w:rPr>
              <w:t>-</w:t>
            </w:r>
            <w:r>
              <w:rPr>
                <w:rFonts w:hint="eastAsia" w:cs="Times New Roman"/>
                <w:color w:val="auto"/>
                <w:kern w:val="44"/>
                <w:lang w:eastAsia="zh-CN"/>
              </w:rPr>
              <w:t>砖瓦、石材等建筑材料制造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3" w:hRule="atLeast"/>
        </w:trPr>
        <w:tc>
          <w:tcPr>
            <w:tcW w:w="1743" w:type="dxa"/>
            <w:tcBorders>
              <w:top w:val="single" w:color="000000" w:sz="4" w:space="0"/>
              <w:bottom w:val="single" w:color="000000" w:sz="4" w:space="0"/>
              <w:right w:val="single" w:color="000000" w:sz="4" w:space="0"/>
            </w:tcBorders>
            <w:vAlign w:val="center"/>
          </w:tcPr>
          <w:p>
            <w:r>
              <w:t>建设性质</w:t>
            </w:r>
          </w:p>
        </w:tc>
        <w:tc>
          <w:tcPr>
            <w:tcW w:w="2274" w:type="dxa"/>
            <w:tcBorders>
              <w:top w:val="single" w:color="000000" w:sz="4" w:space="0"/>
              <w:left w:val="single" w:color="000000" w:sz="4" w:space="0"/>
              <w:bottom w:val="single" w:color="000000" w:sz="4" w:space="0"/>
              <w:right w:val="single" w:color="000000" w:sz="4" w:space="0"/>
            </w:tcBorders>
            <w:vAlign w:val="center"/>
          </w:tcPr>
          <w:p>
            <w:pPr>
              <w:jc w:val="both"/>
            </w:pPr>
            <w:r>
              <w:rPr/>
              <w:sym w:font="Wingdings 2" w:char="0052"/>
            </w:r>
            <w:r>
              <w:t>新建（迁建）</w:t>
            </w:r>
          </w:p>
          <w:p>
            <w:pPr>
              <w:jc w:val="both"/>
            </w:pPr>
            <w:r>
              <w:rPr/>
              <w:sym w:font="Wingdings 2" w:char="00A3"/>
            </w:r>
            <w:r>
              <w:t>改建</w:t>
            </w:r>
          </w:p>
          <w:p>
            <w:pPr>
              <w:jc w:val="both"/>
            </w:pPr>
            <w:r>
              <w:rPr/>
              <w:sym w:font="Wingdings 2" w:char="00A3"/>
            </w:r>
            <w:r>
              <w:t>扩建</w:t>
            </w:r>
          </w:p>
          <w:p>
            <w:pPr>
              <w:jc w:val="both"/>
            </w:pPr>
            <w:r>
              <w:rPr/>
              <w:sym w:font="Wingdings 2" w:char="00A3"/>
            </w:r>
            <w:r>
              <w:t>技术改造</w:t>
            </w:r>
          </w:p>
        </w:tc>
        <w:tc>
          <w:tcPr>
            <w:tcW w:w="2213" w:type="dxa"/>
            <w:gridSpan w:val="2"/>
            <w:tcBorders>
              <w:top w:val="single" w:color="000000" w:sz="4" w:space="0"/>
              <w:left w:val="single" w:color="000000" w:sz="4" w:space="0"/>
              <w:bottom w:val="single" w:color="000000" w:sz="4" w:space="0"/>
              <w:right w:val="single" w:color="000000" w:sz="4" w:space="0"/>
            </w:tcBorders>
            <w:vAlign w:val="center"/>
          </w:tcPr>
          <w:p>
            <w:r>
              <w:t>建设项目申报情形</w:t>
            </w:r>
          </w:p>
        </w:tc>
        <w:tc>
          <w:tcPr>
            <w:tcW w:w="2638" w:type="dxa"/>
            <w:gridSpan w:val="2"/>
            <w:tcBorders>
              <w:top w:val="single" w:color="000000" w:sz="4" w:space="0"/>
              <w:left w:val="single" w:color="000000" w:sz="4" w:space="0"/>
              <w:bottom w:val="single" w:color="000000" w:sz="4" w:space="0"/>
            </w:tcBorders>
            <w:vAlign w:val="center"/>
          </w:tcPr>
          <w:p>
            <w:pPr>
              <w:jc w:val="both"/>
            </w:pPr>
            <w:r>
              <w:rPr/>
              <w:sym w:font="Wingdings 2" w:char="0052"/>
            </w:r>
            <w:r>
              <w:t>首次申报项目</w:t>
            </w:r>
          </w:p>
          <w:p>
            <w:r>
              <w:rPr/>
              <w:sym w:font="Wingdings 2" w:char="00A3"/>
            </w:r>
            <w:r>
              <w:t>不予批准后再次申报项目</w:t>
            </w:r>
          </w:p>
          <w:p>
            <w:pPr>
              <w:jc w:val="both"/>
            </w:pPr>
            <w:r>
              <w:rPr/>
              <w:sym w:font="Wingdings 2" w:char="00A3"/>
            </w:r>
            <w:r>
              <w:t>超五年重新审核项目</w:t>
            </w:r>
          </w:p>
          <w:p>
            <w:r>
              <w:rPr/>
              <w:sym w:font="Wingdings 2" w:char="00A3"/>
            </w:r>
            <w:r>
              <w:t>重大变动重新报批项目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743" w:type="dxa"/>
            <w:tcBorders>
              <w:top w:val="single" w:color="000000" w:sz="4" w:space="0"/>
              <w:bottom w:val="single" w:color="000000" w:sz="4" w:space="0"/>
              <w:right w:val="single" w:color="000000" w:sz="4" w:space="0"/>
            </w:tcBorders>
            <w:vAlign w:val="center"/>
          </w:tcPr>
          <w:p>
            <w:r>
              <w:t>项目审批（核准/备案）部门</w:t>
            </w:r>
          </w:p>
          <w:p>
            <w:r>
              <w:t>（选填）</w:t>
            </w:r>
          </w:p>
        </w:tc>
        <w:tc>
          <w:tcPr>
            <w:tcW w:w="2274" w:type="dxa"/>
            <w:tcBorders>
              <w:top w:val="single" w:color="000000" w:sz="4" w:space="0"/>
              <w:left w:val="single" w:color="000000" w:sz="4" w:space="0"/>
              <w:bottom w:val="single" w:color="000000" w:sz="4" w:space="0"/>
              <w:right w:val="single" w:color="000000" w:sz="4" w:space="0"/>
            </w:tcBorders>
            <w:vAlign w:val="center"/>
          </w:tcPr>
          <w:p>
            <w:pPr>
              <w:rPr>
                <w:rFonts w:hint="eastAsia" w:eastAsia="宋体"/>
                <w:lang w:eastAsia="zh-CN"/>
              </w:rPr>
            </w:pPr>
            <w:r>
              <w:rPr>
                <w:rFonts w:hint="eastAsia"/>
                <w:lang w:val="en-US" w:eastAsia="zh-CN"/>
              </w:rPr>
              <w:t>兴隆县行政审批局</w:t>
            </w:r>
          </w:p>
        </w:tc>
        <w:tc>
          <w:tcPr>
            <w:tcW w:w="2213" w:type="dxa"/>
            <w:gridSpan w:val="2"/>
            <w:tcBorders>
              <w:top w:val="single" w:color="000000" w:sz="4" w:space="0"/>
              <w:left w:val="single" w:color="000000" w:sz="4" w:space="0"/>
              <w:bottom w:val="single" w:color="000000" w:sz="4" w:space="0"/>
              <w:right w:val="single" w:color="000000" w:sz="4" w:space="0"/>
            </w:tcBorders>
            <w:vAlign w:val="center"/>
          </w:tcPr>
          <w:p>
            <w:r>
              <w:t>项目审批</w:t>
            </w:r>
          </w:p>
          <w:p>
            <w:r>
              <w:t>（核准/备案）文号</w:t>
            </w:r>
          </w:p>
          <w:p>
            <w:r>
              <w:t>（选填）</w:t>
            </w:r>
          </w:p>
        </w:tc>
        <w:tc>
          <w:tcPr>
            <w:tcW w:w="2638" w:type="dxa"/>
            <w:gridSpan w:val="2"/>
            <w:tcBorders>
              <w:top w:val="single" w:color="000000" w:sz="4" w:space="0"/>
              <w:left w:val="single" w:color="000000" w:sz="4" w:space="0"/>
              <w:bottom w:val="single" w:color="000000" w:sz="4" w:space="0"/>
            </w:tcBorders>
            <w:vAlign w:val="center"/>
          </w:tcPr>
          <w:p>
            <w:pPr>
              <w:rPr>
                <w:rFonts w:hint="eastAsia" w:eastAsia="宋体"/>
                <w:lang w:val="en-US" w:eastAsia="zh-CN"/>
              </w:rPr>
            </w:pPr>
            <w:r>
              <w:rPr>
                <w:rFonts w:hint="eastAsia"/>
                <w:color w:val="auto"/>
                <w:lang w:val="en-US" w:eastAsia="zh-CN"/>
              </w:rPr>
              <w:t>兴审批投字【2022】83号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743" w:type="dxa"/>
            <w:tcBorders>
              <w:top w:val="single" w:color="000000" w:sz="4" w:space="0"/>
              <w:bottom w:val="single" w:color="000000" w:sz="4" w:space="0"/>
              <w:right w:val="single" w:color="000000" w:sz="4" w:space="0"/>
            </w:tcBorders>
            <w:vAlign w:val="center"/>
          </w:tcPr>
          <w:p>
            <w:pPr>
              <w:rPr>
                <w:color w:val="auto"/>
              </w:rPr>
            </w:pPr>
            <w:r>
              <w:rPr>
                <w:color w:val="auto"/>
              </w:rPr>
              <w:t>总投资（万元）</w:t>
            </w:r>
          </w:p>
        </w:tc>
        <w:tc>
          <w:tcPr>
            <w:tcW w:w="2274" w:type="dxa"/>
            <w:tcBorders>
              <w:top w:val="single" w:color="000000" w:sz="4" w:space="0"/>
              <w:left w:val="single" w:color="000000" w:sz="4" w:space="0"/>
              <w:bottom w:val="single" w:color="000000" w:sz="4" w:space="0"/>
              <w:right w:val="single" w:color="000000" w:sz="4" w:space="0"/>
            </w:tcBorders>
            <w:vAlign w:val="center"/>
          </w:tcPr>
          <w:p>
            <w:pPr>
              <w:rPr>
                <w:rFonts w:hint="default" w:eastAsia="宋体"/>
                <w:color w:val="auto"/>
                <w:lang w:val="en-US" w:eastAsia="zh-CN"/>
              </w:rPr>
            </w:pPr>
            <w:r>
              <w:rPr>
                <w:rFonts w:hint="eastAsia"/>
                <w:color w:val="auto"/>
                <w:lang w:val="en-US" w:eastAsia="zh-CN"/>
              </w:rPr>
              <w:t>280</w:t>
            </w:r>
          </w:p>
        </w:tc>
        <w:tc>
          <w:tcPr>
            <w:tcW w:w="2213" w:type="dxa"/>
            <w:gridSpan w:val="2"/>
            <w:tcBorders>
              <w:top w:val="single" w:color="000000" w:sz="4" w:space="0"/>
              <w:left w:val="single" w:color="000000" w:sz="4" w:space="0"/>
              <w:bottom w:val="single" w:color="000000" w:sz="4" w:space="0"/>
              <w:right w:val="single" w:color="000000" w:sz="4" w:space="0"/>
            </w:tcBorders>
            <w:vAlign w:val="center"/>
          </w:tcPr>
          <w:p>
            <w:pPr>
              <w:rPr>
                <w:color w:val="auto"/>
              </w:rPr>
            </w:pPr>
            <w:r>
              <w:rPr>
                <w:color w:val="auto"/>
              </w:rPr>
              <w:t>环保投资（万元）</w:t>
            </w:r>
          </w:p>
        </w:tc>
        <w:tc>
          <w:tcPr>
            <w:tcW w:w="2638" w:type="dxa"/>
            <w:gridSpan w:val="2"/>
            <w:tcBorders>
              <w:top w:val="single" w:color="000000" w:sz="4" w:space="0"/>
              <w:left w:val="single" w:color="000000" w:sz="4" w:space="0"/>
              <w:bottom w:val="single" w:color="000000" w:sz="4" w:space="0"/>
            </w:tcBorders>
            <w:vAlign w:val="center"/>
          </w:tcPr>
          <w:p>
            <w:pPr>
              <w:rPr>
                <w:rFonts w:hint="default" w:eastAsia="宋体"/>
                <w:color w:val="auto"/>
                <w:lang w:val="en-US" w:eastAsia="zh-CN"/>
              </w:rPr>
            </w:pPr>
            <w:r>
              <w:rPr>
                <w:rFonts w:hint="eastAsia"/>
                <w:color w:val="auto"/>
                <w:lang w:val="en-US" w:eastAsia="zh-CN"/>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743" w:type="dxa"/>
            <w:tcBorders>
              <w:top w:val="single" w:color="000000" w:sz="4" w:space="0"/>
              <w:bottom w:val="single" w:color="000000" w:sz="4" w:space="0"/>
              <w:right w:val="single" w:color="000000" w:sz="4" w:space="0"/>
            </w:tcBorders>
            <w:vAlign w:val="center"/>
          </w:tcPr>
          <w:p>
            <w:pPr>
              <w:rPr>
                <w:color w:val="auto"/>
              </w:rPr>
            </w:pPr>
            <w:r>
              <w:rPr>
                <w:color w:val="auto"/>
              </w:rPr>
              <w:t>环保投资占比（%）</w:t>
            </w:r>
          </w:p>
        </w:tc>
        <w:tc>
          <w:tcPr>
            <w:tcW w:w="2274" w:type="dxa"/>
            <w:tcBorders>
              <w:top w:val="single" w:color="000000" w:sz="4" w:space="0"/>
              <w:left w:val="single" w:color="000000" w:sz="4" w:space="0"/>
              <w:bottom w:val="single" w:color="000000" w:sz="4" w:space="0"/>
              <w:right w:val="single" w:color="000000" w:sz="4" w:space="0"/>
            </w:tcBorders>
            <w:vAlign w:val="center"/>
          </w:tcPr>
          <w:p>
            <w:pPr>
              <w:rPr>
                <w:rFonts w:hint="default" w:eastAsia="宋体"/>
                <w:color w:val="auto"/>
                <w:lang w:val="en-US" w:eastAsia="zh-CN"/>
              </w:rPr>
            </w:pPr>
            <w:r>
              <w:rPr>
                <w:rFonts w:hint="eastAsia"/>
                <w:color w:val="auto"/>
                <w:lang w:val="en-US" w:eastAsia="zh-CN"/>
              </w:rPr>
              <w:t>7.1%</w:t>
            </w:r>
          </w:p>
        </w:tc>
        <w:tc>
          <w:tcPr>
            <w:tcW w:w="2213" w:type="dxa"/>
            <w:gridSpan w:val="2"/>
            <w:tcBorders>
              <w:top w:val="single" w:color="000000" w:sz="4" w:space="0"/>
              <w:left w:val="single" w:color="000000" w:sz="4" w:space="0"/>
              <w:bottom w:val="single" w:color="000000" w:sz="4" w:space="0"/>
              <w:right w:val="single" w:color="000000" w:sz="4" w:space="0"/>
            </w:tcBorders>
            <w:vAlign w:val="center"/>
          </w:tcPr>
          <w:p>
            <w:pPr>
              <w:rPr>
                <w:color w:val="auto"/>
              </w:rPr>
            </w:pPr>
            <w:r>
              <w:rPr>
                <w:color w:val="auto"/>
              </w:rPr>
              <w:t>施工工期</w:t>
            </w:r>
          </w:p>
        </w:tc>
        <w:tc>
          <w:tcPr>
            <w:tcW w:w="2638" w:type="dxa"/>
            <w:gridSpan w:val="2"/>
            <w:tcBorders>
              <w:top w:val="single" w:color="000000" w:sz="4" w:space="0"/>
              <w:left w:val="single" w:color="000000" w:sz="4" w:space="0"/>
              <w:bottom w:val="single" w:color="000000" w:sz="4" w:space="0"/>
            </w:tcBorders>
            <w:vAlign w:val="center"/>
          </w:tcPr>
          <w:p>
            <w:pPr>
              <w:rPr>
                <w:color w:val="auto"/>
                <w:lang w:val="en-US"/>
              </w:rPr>
            </w:pPr>
            <w:r>
              <w:rPr>
                <w:rFonts w:hint="eastAsia"/>
                <w:color w:val="auto"/>
                <w:lang w:val="en-US" w:eastAsia="zh-CN"/>
              </w:rPr>
              <w:t>1个</w:t>
            </w:r>
            <w:r>
              <w:rPr>
                <w:rFonts w:hint="eastAsia"/>
                <w:color w:val="auto"/>
                <w:lang w:val="en-US"/>
              </w:rPr>
              <w:t>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1743" w:type="dxa"/>
            <w:tcBorders>
              <w:top w:val="single" w:color="000000" w:sz="4" w:space="0"/>
              <w:bottom w:val="single" w:color="000000" w:sz="4" w:space="0"/>
              <w:right w:val="single" w:color="000000" w:sz="4" w:space="0"/>
            </w:tcBorders>
            <w:vAlign w:val="center"/>
          </w:tcPr>
          <w:p>
            <w:r>
              <w:t>是否开工建设</w:t>
            </w:r>
          </w:p>
        </w:tc>
        <w:tc>
          <w:tcPr>
            <w:tcW w:w="4062"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jc w:val="both"/>
            </w:pPr>
            <w:r>
              <w:rPr/>
              <w:sym w:font="Wingdings 2" w:char="00A3"/>
            </w:r>
            <w:r>
              <w:t>否</w:t>
            </w:r>
          </w:p>
          <w:p>
            <w:pPr>
              <w:spacing w:line="240" w:lineRule="auto"/>
              <w:jc w:val="left"/>
              <w:rPr>
                <w:rFonts w:ascii="Times New Roman" w:hAnsi="Times New Roman" w:eastAsia="宋体" w:cs="宋体"/>
                <w:sz w:val="24"/>
                <w:szCs w:val="24"/>
                <w:lang w:val="zh-CN" w:eastAsia="zh-CN" w:bidi="zh-CN"/>
              </w:rPr>
            </w:pPr>
            <w:r>
              <w:rPr/>
              <w:sym w:font="Wingdings 2" w:char="0052"/>
            </w:r>
            <w:r>
              <w:t>是</w:t>
            </w:r>
            <w:r>
              <w:rPr>
                <w:sz w:val="21"/>
                <w:szCs w:val="21"/>
              </w:rPr>
              <w:t>：</w:t>
            </w:r>
            <w:r>
              <w:rPr>
                <w:rFonts w:hint="eastAsia"/>
                <w:sz w:val="21"/>
                <w:szCs w:val="21"/>
                <w:highlight w:val="none"/>
                <w:lang w:eastAsia="zh-CN"/>
              </w:rPr>
              <w:t>建设项目环境影响报告表未经批准私自开工建设</w:t>
            </w:r>
            <w:r>
              <w:rPr>
                <w:rFonts w:hint="default"/>
                <w:sz w:val="21"/>
                <w:szCs w:val="21"/>
                <w:highlight w:val="none"/>
              </w:rPr>
              <w:t>，</w:t>
            </w:r>
            <w:r>
              <w:rPr>
                <w:rFonts w:hint="eastAsia"/>
                <w:sz w:val="21"/>
                <w:szCs w:val="21"/>
                <w:lang w:eastAsia="zh-CN"/>
              </w:rPr>
              <w:t>目前已建设封闭式生产车间，</w:t>
            </w:r>
            <w:r>
              <w:rPr>
                <w:rFonts w:hint="default"/>
                <w:sz w:val="21"/>
                <w:szCs w:val="21"/>
                <w:highlight w:val="none"/>
              </w:rPr>
              <w:t>承德市生态环境局兴隆县分局出具了责令改正违法行为决定书，</w:t>
            </w:r>
            <w:r>
              <w:rPr>
                <w:rFonts w:hint="default"/>
                <w:color w:val="auto"/>
                <w:sz w:val="21"/>
                <w:szCs w:val="21"/>
                <w:highlight w:val="none"/>
              </w:rPr>
              <w:t>文号：</w:t>
            </w:r>
            <w:r>
              <w:rPr>
                <w:rFonts w:hint="eastAsia"/>
                <w:color w:val="auto"/>
                <w:sz w:val="21"/>
                <w:szCs w:val="21"/>
                <w:highlight w:val="none"/>
                <w:lang w:eastAsia="zh-CN"/>
              </w:rPr>
              <w:t>承兴</w:t>
            </w:r>
            <w:r>
              <w:rPr>
                <w:rFonts w:hint="default"/>
                <w:color w:val="auto"/>
                <w:sz w:val="21"/>
                <w:szCs w:val="21"/>
                <w:highlight w:val="none"/>
              </w:rPr>
              <w:t>环责改</w:t>
            </w:r>
            <w:r>
              <w:rPr>
                <w:rFonts w:hint="eastAsia"/>
                <w:color w:val="auto"/>
                <w:sz w:val="21"/>
                <w:szCs w:val="21"/>
                <w:highlight w:val="none"/>
                <w:lang w:val="en-US" w:eastAsia="zh-CN"/>
              </w:rPr>
              <w:t>[2022]027</w:t>
            </w:r>
            <w:r>
              <w:rPr>
                <w:rFonts w:hint="default"/>
                <w:color w:val="auto"/>
                <w:sz w:val="21"/>
                <w:szCs w:val="21"/>
                <w:highlight w:val="none"/>
              </w:rPr>
              <w:t>号，</w:t>
            </w:r>
            <w:r>
              <w:rPr>
                <w:rFonts w:hint="default"/>
                <w:sz w:val="21"/>
                <w:szCs w:val="21"/>
                <w:highlight w:val="none"/>
              </w:rPr>
              <w:t>建设单位已遵照决定书要求停止违法建设行为，补办环评审批手续。</w:t>
            </w:r>
          </w:p>
        </w:tc>
        <w:tc>
          <w:tcPr>
            <w:tcW w:w="1568" w:type="dxa"/>
            <w:gridSpan w:val="2"/>
            <w:tcBorders>
              <w:top w:val="single" w:color="000000" w:sz="4" w:space="0"/>
              <w:left w:val="single" w:color="000000" w:sz="4" w:space="0"/>
              <w:bottom w:val="single" w:color="000000" w:sz="4" w:space="0"/>
            </w:tcBorders>
            <w:vAlign w:val="center"/>
          </w:tcPr>
          <w:p>
            <w:r>
              <w:t>用地（用海）</w:t>
            </w:r>
          </w:p>
          <w:p>
            <w:pPr>
              <w:rPr>
                <w:rFonts w:hint="default" w:ascii="Times New Roman" w:hAnsi="Times New Roman" w:eastAsia="宋体" w:cs="宋体"/>
                <w:sz w:val="24"/>
                <w:szCs w:val="24"/>
                <w:lang w:val="en-US" w:eastAsia="zh-CN" w:bidi="zh-CN"/>
              </w:rPr>
            </w:pPr>
            <w:r>
              <w:t>面积（m</w:t>
            </w:r>
            <w:r>
              <w:rPr>
                <w:vertAlign w:val="superscript"/>
              </w:rPr>
              <w:t>2</w:t>
            </w:r>
            <w:r>
              <w:t>）</w:t>
            </w:r>
          </w:p>
        </w:tc>
        <w:tc>
          <w:tcPr>
            <w:tcW w:w="1495" w:type="dxa"/>
            <w:tcBorders>
              <w:top w:val="single" w:color="000000" w:sz="4" w:space="0"/>
              <w:left w:val="single" w:color="000000" w:sz="4" w:space="0"/>
              <w:bottom w:val="single" w:color="000000" w:sz="4" w:space="0"/>
            </w:tcBorders>
            <w:vAlign w:val="center"/>
          </w:tcPr>
          <w:p>
            <w:pPr>
              <w:rPr>
                <w:rFonts w:hint="default" w:ascii="Times New Roman" w:hAnsi="Times New Roman" w:eastAsia="宋体" w:cs="宋体"/>
                <w:sz w:val="24"/>
                <w:szCs w:val="24"/>
                <w:lang w:val="en-US" w:eastAsia="zh-CN" w:bidi="zh-CN"/>
              </w:rPr>
            </w:pPr>
            <w:r>
              <w:rPr>
                <w:rFonts w:hint="eastAsia"/>
                <w:lang w:val="en-US" w:eastAsia="zh-CN"/>
              </w:rPr>
              <w:t>10000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0" w:hRule="atLeast"/>
        </w:trPr>
        <w:tc>
          <w:tcPr>
            <w:tcW w:w="1743" w:type="dxa"/>
            <w:tcBorders>
              <w:top w:val="single" w:color="000000" w:sz="4" w:space="0"/>
              <w:bottom w:val="single" w:color="000000" w:sz="4" w:space="0"/>
              <w:right w:val="single" w:color="000000" w:sz="4" w:space="0"/>
            </w:tcBorders>
            <w:vAlign w:val="center"/>
          </w:tcPr>
          <w:p>
            <w:r>
              <w:t>专项评价设置</w:t>
            </w:r>
          </w:p>
          <w:p>
            <w:r>
              <w:t>情况</w:t>
            </w:r>
          </w:p>
        </w:tc>
        <w:tc>
          <w:tcPr>
            <w:tcW w:w="7125" w:type="dxa"/>
            <w:gridSpan w:val="5"/>
            <w:tcBorders>
              <w:top w:val="single" w:color="000000" w:sz="4" w:space="0"/>
              <w:left w:val="single" w:color="000000" w:sz="4" w:space="0"/>
              <w:bottom w:val="single" w:color="000000" w:sz="4" w:space="0"/>
            </w:tcBorders>
            <w:vAlign w:val="center"/>
          </w:tcPr>
          <w:p>
            <w:r>
              <w:rPr>
                <w:rFonts w:hint="eastAsia"/>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0" w:hRule="atLeast"/>
        </w:trPr>
        <w:tc>
          <w:tcPr>
            <w:tcW w:w="1743" w:type="dxa"/>
            <w:tcBorders>
              <w:top w:val="single" w:color="000000" w:sz="4" w:space="0"/>
              <w:bottom w:val="single" w:color="000000" w:sz="4" w:space="0"/>
              <w:right w:val="single" w:color="000000" w:sz="4" w:space="0"/>
            </w:tcBorders>
            <w:vAlign w:val="center"/>
          </w:tcPr>
          <w:p>
            <w:r>
              <w:t>规划情况</w:t>
            </w:r>
          </w:p>
        </w:tc>
        <w:tc>
          <w:tcPr>
            <w:tcW w:w="7125" w:type="dxa"/>
            <w:gridSpan w:val="5"/>
            <w:tcBorders>
              <w:top w:val="single" w:color="000000" w:sz="4" w:space="0"/>
              <w:left w:val="single" w:color="000000" w:sz="4" w:space="0"/>
              <w:bottom w:val="single" w:color="000000" w:sz="4" w:space="0"/>
            </w:tcBorders>
            <w:vAlign w:val="center"/>
          </w:tcPr>
          <w:p>
            <w:r>
              <w:rPr>
                <w:rFonts w:hint="eastAsia"/>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0" w:hRule="atLeast"/>
        </w:trPr>
        <w:tc>
          <w:tcPr>
            <w:tcW w:w="1743" w:type="dxa"/>
            <w:tcBorders>
              <w:top w:val="single" w:color="000000" w:sz="4" w:space="0"/>
              <w:bottom w:val="single" w:color="000000" w:sz="4" w:space="0"/>
              <w:right w:val="single" w:color="000000" w:sz="4" w:space="0"/>
            </w:tcBorders>
            <w:vAlign w:val="center"/>
          </w:tcPr>
          <w:p>
            <w:r>
              <w:t>规划环境影响</w:t>
            </w:r>
          </w:p>
          <w:p>
            <w:r>
              <w:t>评价情况</w:t>
            </w:r>
          </w:p>
        </w:tc>
        <w:tc>
          <w:tcPr>
            <w:tcW w:w="7125" w:type="dxa"/>
            <w:gridSpan w:val="5"/>
            <w:tcBorders>
              <w:top w:val="single" w:color="000000" w:sz="4" w:space="0"/>
              <w:left w:val="single" w:color="000000" w:sz="4" w:space="0"/>
              <w:bottom w:val="single" w:color="000000" w:sz="4" w:space="0"/>
            </w:tcBorders>
            <w:vAlign w:val="center"/>
          </w:tcPr>
          <w:p>
            <w:r>
              <w:rPr>
                <w:rFonts w:hint="eastAsia"/>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0" w:hRule="atLeast"/>
        </w:trPr>
        <w:tc>
          <w:tcPr>
            <w:tcW w:w="1743" w:type="dxa"/>
            <w:tcBorders>
              <w:top w:val="single" w:color="000000" w:sz="4" w:space="0"/>
              <w:bottom w:val="single" w:color="000000" w:sz="4" w:space="0"/>
              <w:right w:val="single" w:color="000000" w:sz="4" w:space="0"/>
            </w:tcBorders>
            <w:vAlign w:val="center"/>
          </w:tcPr>
          <w:p>
            <w:r>
              <w:t>规划及规划环境影响评价符合性分析</w:t>
            </w:r>
          </w:p>
        </w:tc>
        <w:tc>
          <w:tcPr>
            <w:tcW w:w="7125" w:type="dxa"/>
            <w:gridSpan w:val="5"/>
            <w:tcBorders>
              <w:top w:val="single" w:color="000000" w:sz="4" w:space="0"/>
              <w:left w:val="single" w:color="000000" w:sz="4" w:space="0"/>
              <w:bottom w:val="single" w:color="000000" w:sz="4" w:space="0"/>
            </w:tcBorders>
            <w:vAlign w:val="center"/>
          </w:tcPr>
          <w:p>
            <w:r>
              <w:rPr>
                <w:rFonts w:hint="eastAsia"/>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1743" w:type="dxa"/>
            <w:tcBorders>
              <w:top w:val="single" w:color="000000" w:sz="4" w:space="0"/>
              <w:right w:val="single" w:color="000000" w:sz="4" w:space="0"/>
            </w:tcBorders>
            <w:vAlign w:val="center"/>
          </w:tcPr>
          <w:p>
            <w:r>
              <w:t>其</w:t>
            </w:r>
          </w:p>
          <w:p>
            <w:r>
              <w:t>他</w:t>
            </w:r>
          </w:p>
          <w:p>
            <w:r>
              <w:t>符</w:t>
            </w:r>
          </w:p>
          <w:p>
            <w:r>
              <w:t>合</w:t>
            </w:r>
          </w:p>
          <w:p>
            <w:r>
              <w:t>性</w:t>
            </w:r>
          </w:p>
          <w:p>
            <w:r>
              <w:t>分</w:t>
            </w:r>
          </w:p>
          <w:p>
            <w:r>
              <w:t>析</w:t>
            </w:r>
          </w:p>
        </w:tc>
        <w:tc>
          <w:tcPr>
            <w:tcW w:w="7125" w:type="dxa"/>
            <w:gridSpan w:val="5"/>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500" w:lineRule="exact"/>
              <w:ind w:left="0" w:right="0" w:firstLine="480" w:firstLineChars="200"/>
              <w:jc w:val="left"/>
              <w:textAlignment w:val="auto"/>
            </w:pPr>
            <w:r>
              <w:rPr>
                <w:rFonts w:hint="eastAsia"/>
                <w:lang w:val="en-US"/>
              </w:rPr>
              <w:t>1、</w:t>
            </w:r>
            <w:r>
              <w:t>产业政策</w:t>
            </w:r>
            <w:r>
              <w:rPr>
                <w:rFonts w:hint="eastAsia"/>
              </w:rPr>
              <w:t>符合性分析：</w:t>
            </w:r>
          </w:p>
          <w:p>
            <w:pPr>
              <w:keepNext w:val="0"/>
              <w:keepLines w:val="0"/>
              <w:pageBreakBefore w:val="0"/>
              <w:widowControl w:val="0"/>
              <w:kinsoku/>
              <w:wordWrap/>
              <w:overflowPunct/>
              <w:topLinePunct w:val="0"/>
              <w:autoSpaceDE w:val="0"/>
              <w:autoSpaceDN w:val="0"/>
              <w:bidi w:val="0"/>
              <w:adjustRightInd/>
              <w:snapToGrid/>
              <w:spacing w:line="500" w:lineRule="exact"/>
              <w:ind w:left="0" w:right="0" w:firstLine="480" w:firstLineChars="200"/>
              <w:jc w:val="left"/>
              <w:textAlignment w:val="auto"/>
              <w:rPr>
                <w:lang w:val="en-US"/>
              </w:rPr>
            </w:pPr>
            <w:r>
              <w:rPr>
                <w:rFonts w:hint="eastAsia"/>
                <w:lang w:val="en-US"/>
              </w:rPr>
              <w:t>本项目</w:t>
            </w:r>
            <w:r>
              <w:t>为《国民经济行业分类》（GB/T4754-2017）中</w:t>
            </w:r>
            <w:r>
              <w:rPr>
                <w:rFonts w:hint="eastAsia"/>
                <w:lang w:eastAsia="zh-CN"/>
              </w:rPr>
              <w:t>C3039其他建筑材料制造</w:t>
            </w:r>
            <w:r>
              <w:t>，经查阅《产业结构调整指导目录（201</w:t>
            </w:r>
            <w:r>
              <w:rPr>
                <w:rFonts w:hint="eastAsia"/>
                <w:lang w:val="en-US"/>
              </w:rPr>
              <w:t>9</w:t>
            </w:r>
            <w:r>
              <w:t>年本）》，</w:t>
            </w:r>
            <w:r>
              <w:rPr>
                <w:rFonts w:hint="eastAsia"/>
              </w:rPr>
              <w:t>本项目</w:t>
            </w:r>
            <w:r>
              <w:t>不</w:t>
            </w:r>
            <w:r>
              <w:rPr>
                <w:rFonts w:hint="eastAsia"/>
              </w:rPr>
              <w:t>属于</w:t>
            </w:r>
            <w:r>
              <w:t>限制类、淘汰类项目，同时该项目不在《河北省新增限制和淘汰类产业目录（2015年版）》范围内。</w:t>
            </w:r>
            <w:r>
              <w:rPr>
                <w:rFonts w:hint="eastAsia"/>
                <w:lang w:eastAsia="zh-CN"/>
              </w:rPr>
              <w:t>且</w:t>
            </w:r>
            <w:r>
              <w:rPr>
                <w:rFonts w:hint="default"/>
              </w:rPr>
              <w:t>不属于《市场准入负面清单（20</w:t>
            </w:r>
            <w:r>
              <w:rPr>
                <w:rFonts w:hint="default"/>
                <w:lang w:val="en-US" w:eastAsia="zh-CN"/>
              </w:rPr>
              <w:t>2</w:t>
            </w:r>
            <w:r>
              <w:rPr>
                <w:rFonts w:hint="eastAsia"/>
                <w:lang w:val="en-US" w:eastAsia="zh-CN"/>
              </w:rPr>
              <w:t>2</w:t>
            </w:r>
            <w:r>
              <w:rPr>
                <w:rFonts w:hint="default"/>
              </w:rPr>
              <w:t>年版）》（发改体改规〔202</w:t>
            </w:r>
            <w:r>
              <w:rPr>
                <w:rFonts w:hint="eastAsia"/>
                <w:lang w:val="en-US" w:eastAsia="zh-CN"/>
              </w:rPr>
              <w:t>2</w:t>
            </w:r>
            <w:r>
              <w:rPr>
                <w:rFonts w:hint="default"/>
              </w:rPr>
              <w:t>〕</w:t>
            </w:r>
            <w:r>
              <w:rPr>
                <w:rFonts w:hint="eastAsia"/>
                <w:lang w:val="en-US" w:eastAsia="zh-CN"/>
              </w:rPr>
              <w:t>397</w:t>
            </w:r>
            <w:r>
              <w:rPr>
                <w:rFonts w:hint="default"/>
              </w:rPr>
              <w:t>号）所列的禁止准入类范围。</w:t>
            </w:r>
            <w:r>
              <w:rPr>
                <w:rFonts w:hint="eastAsia"/>
              </w:rPr>
              <w:t>建设单位于</w:t>
            </w:r>
            <w:r>
              <w:rPr>
                <w:rFonts w:hint="eastAsia"/>
                <w:lang w:val="en-US" w:eastAsia="zh-CN"/>
              </w:rPr>
              <w:t>2022年5月25日取得兴隆县行政审批局《关于河北吉明华亿建筑安装工程有限公司兴隆县分公司首环高速承平段TJ1标碎石厂项目》备案信息（</w:t>
            </w:r>
            <w:r>
              <w:rPr>
                <w:rFonts w:hint="eastAsia"/>
                <w:lang w:eastAsia="zh-CN"/>
              </w:rPr>
              <w:t>详</w:t>
            </w:r>
            <w:r>
              <w:rPr>
                <w:rFonts w:hint="eastAsia"/>
              </w:rPr>
              <w:t>见附件</w:t>
            </w:r>
            <w:r>
              <w:rPr>
                <w:rFonts w:hint="eastAsia"/>
                <w:lang w:val="en-US" w:eastAsia="zh-CN"/>
              </w:rPr>
              <w:t>2）</w:t>
            </w:r>
            <w:r>
              <w:rPr>
                <w:rFonts w:hint="eastAsia"/>
                <w:lang w:val="en-US"/>
              </w:rPr>
              <w:t>。因此，项目符合产业政策。</w:t>
            </w:r>
          </w:p>
          <w:p>
            <w:pPr>
              <w:keepNext w:val="0"/>
              <w:keepLines w:val="0"/>
              <w:pageBreakBefore w:val="0"/>
              <w:widowControl w:val="0"/>
              <w:kinsoku/>
              <w:wordWrap/>
              <w:overflowPunct/>
              <w:topLinePunct w:val="0"/>
              <w:autoSpaceDE w:val="0"/>
              <w:autoSpaceDN w:val="0"/>
              <w:bidi w:val="0"/>
              <w:adjustRightInd/>
              <w:snapToGrid/>
              <w:spacing w:line="500" w:lineRule="exact"/>
              <w:ind w:left="0" w:right="0" w:firstLine="480" w:firstLineChars="200"/>
              <w:jc w:val="left"/>
              <w:textAlignment w:val="auto"/>
            </w:pPr>
            <w:r>
              <w:rPr>
                <w:rFonts w:hint="eastAsia"/>
                <w:lang w:val="en-US"/>
              </w:rPr>
              <w:t>2、</w:t>
            </w:r>
            <w:r>
              <w:t>选址</w:t>
            </w:r>
            <w:r>
              <w:rPr>
                <w:rFonts w:hint="eastAsia"/>
              </w:rPr>
              <w:t>及规划</w:t>
            </w:r>
            <w:r>
              <w:t>合理性分析</w:t>
            </w:r>
            <w:r>
              <w:rPr>
                <w:rFonts w:hint="eastAsia"/>
              </w:rPr>
              <w:t>：</w:t>
            </w:r>
          </w:p>
          <w:p>
            <w:pPr>
              <w:keepNext w:val="0"/>
              <w:keepLines w:val="0"/>
              <w:pageBreakBefore w:val="0"/>
              <w:widowControl w:val="0"/>
              <w:kinsoku/>
              <w:wordWrap/>
              <w:overflowPunct/>
              <w:topLinePunct w:val="0"/>
              <w:autoSpaceDE w:val="0"/>
              <w:autoSpaceDN w:val="0"/>
              <w:bidi w:val="0"/>
              <w:adjustRightInd/>
              <w:snapToGrid/>
              <w:spacing w:line="500" w:lineRule="exact"/>
              <w:ind w:left="0" w:right="0" w:firstLine="480" w:firstLineChars="200"/>
              <w:jc w:val="left"/>
              <w:textAlignment w:val="auto"/>
              <w:rPr>
                <w:rFonts w:hint="eastAsia"/>
                <w:lang w:val="en-US"/>
              </w:rPr>
            </w:pPr>
            <w:r>
              <w:rPr>
                <w:rFonts w:hint="eastAsia"/>
              </w:rPr>
              <w:t>项目</w:t>
            </w:r>
            <w:r>
              <w:t>位于</w:t>
            </w:r>
            <w:r>
              <w:rPr>
                <w:rFonts w:hint="default"/>
                <w:lang w:val="en-US" w:eastAsia="zh-CN"/>
              </w:rPr>
              <w:t>兴隆县</w:t>
            </w:r>
            <w:r>
              <w:rPr>
                <w:rFonts w:hint="eastAsia"/>
                <w:lang w:val="en-US" w:eastAsia="zh-CN"/>
              </w:rPr>
              <w:t>北营房</w:t>
            </w:r>
            <w:r>
              <w:rPr>
                <w:rFonts w:hint="default"/>
                <w:lang w:val="en-US" w:eastAsia="zh-CN"/>
              </w:rPr>
              <w:t>镇</w:t>
            </w:r>
            <w:r>
              <w:rPr>
                <w:rFonts w:hint="eastAsia"/>
                <w:lang w:val="en-US" w:eastAsia="zh-CN"/>
              </w:rPr>
              <w:t>北营房</w:t>
            </w:r>
            <w:r>
              <w:rPr>
                <w:rFonts w:hint="default"/>
                <w:lang w:val="en-US" w:eastAsia="zh-CN"/>
              </w:rPr>
              <w:t>村</w:t>
            </w:r>
            <w:r>
              <w:t>，</w:t>
            </w:r>
            <w:r>
              <w:rPr>
                <w:rFonts w:hint="eastAsia"/>
                <w:lang w:eastAsia="zh-CN"/>
              </w:rPr>
              <w:t>本项目用地为租用当地居民土地，已签署临时用地协议</w:t>
            </w:r>
            <w:r>
              <w:rPr>
                <w:rFonts w:hint="eastAsia"/>
              </w:rPr>
              <w:t>（</w:t>
            </w:r>
            <w:r>
              <w:rPr>
                <w:rFonts w:hint="eastAsia"/>
                <w:lang w:eastAsia="zh-CN"/>
              </w:rPr>
              <w:t>详</w:t>
            </w:r>
            <w:r>
              <w:rPr>
                <w:rFonts w:hint="eastAsia"/>
              </w:rPr>
              <w:t>见附件</w:t>
            </w:r>
            <w:r>
              <w:rPr>
                <w:rFonts w:hint="eastAsia"/>
                <w:lang w:val="en-US" w:eastAsia="zh-CN"/>
              </w:rPr>
              <w:t>5</w:t>
            </w:r>
            <w:r>
              <w:rPr>
                <w:rFonts w:hint="eastAsia"/>
              </w:rPr>
              <w:t>）</w:t>
            </w:r>
            <w:r>
              <w:rPr>
                <w:rFonts w:hint="eastAsia"/>
                <w:lang w:eastAsia="zh-CN"/>
              </w:rPr>
              <w:t>，</w:t>
            </w:r>
            <w:r>
              <w:rPr>
                <w:rFonts w:hint="eastAsia"/>
              </w:rPr>
              <w:t>租赁协议为中交路桥建设有限公司首环高速承平段TJ1标项目经理部签署，中交路桥建设有限公司首环高速承平段TJ1标项目经理部为承平高速工程总承包方，</w:t>
            </w:r>
            <w:r>
              <w:rPr>
                <w:rFonts w:hint="eastAsia"/>
                <w:lang w:val="en-US" w:eastAsia="zh-CN"/>
              </w:rPr>
              <w:t>河北吉明华亿建筑安装工程有限公司兴隆县分公司</w:t>
            </w:r>
            <w:r>
              <w:rPr>
                <w:rFonts w:hint="eastAsia"/>
              </w:rPr>
              <w:t>为本标段项目具体施工方，故本租赁协议为首环高速承平段TJ1标项目经理部代签署。</w:t>
            </w:r>
            <w:r>
              <w:rPr>
                <w:rFonts w:hint="eastAsia"/>
                <w:lang w:val="en-US" w:eastAsia="zh-CN"/>
              </w:rPr>
              <w:t>本项目已取得临时用地会签表</w:t>
            </w:r>
            <w:r>
              <w:rPr>
                <w:rFonts w:hint="default"/>
              </w:rPr>
              <w:t>（</w:t>
            </w:r>
            <w:r>
              <w:rPr>
                <w:rFonts w:hint="default"/>
                <w:lang w:eastAsia="zh-CN"/>
              </w:rPr>
              <w:t>详</w:t>
            </w:r>
            <w:r>
              <w:rPr>
                <w:rFonts w:hint="default"/>
              </w:rPr>
              <w:t>见附件</w:t>
            </w:r>
            <w:r>
              <w:rPr>
                <w:rFonts w:hint="eastAsia"/>
                <w:lang w:val="en-US" w:eastAsia="zh-CN"/>
              </w:rPr>
              <w:t>6</w:t>
            </w:r>
            <w:r>
              <w:rPr>
                <w:rFonts w:hint="default"/>
              </w:rPr>
              <w:t>）</w:t>
            </w:r>
            <w:r>
              <w:rPr>
                <w:rFonts w:hint="eastAsia"/>
                <w:lang w:val="en-US" w:eastAsia="zh-CN"/>
              </w:rPr>
              <w:t>，根据临时用地会签表，本项目不占用基本农田，不占用生态红线，不在县城集中式饮用水源地保护区范围内，</w:t>
            </w:r>
            <w:r>
              <w:rPr>
                <w:rFonts w:hint="eastAsia"/>
              </w:rPr>
              <w:t>项目</w:t>
            </w:r>
            <w:r>
              <w:rPr>
                <w:rFonts w:hint="eastAsia"/>
                <w:lang w:eastAsia="zh-CN"/>
              </w:rPr>
              <w:t>于</w:t>
            </w:r>
            <w:r>
              <w:rPr>
                <w:rFonts w:hint="eastAsia"/>
                <w:lang w:val="en-US" w:eastAsia="zh-CN"/>
              </w:rPr>
              <w:t>2022年5月23日</w:t>
            </w:r>
            <w:r>
              <w:rPr>
                <w:rFonts w:hint="eastAsia"/>
              </w:rPr>
              <w:t>取得</w:t>
            </w:r>
            <w:r>
              <w:rPr>
                <w:rFonts w:hint="eastAsia"/>
                <w:lang w:val="en-US" w:eastAsia="zh-CN"/>
              </w:rPr>
              <w:t>兴隆县北营房镇人民政府《关于河北吉明华亿建筑安装工程有限公司兴隆县分公司首环高速承平段T</w:t>
            </w:r>
            <w:r>
              <w:rPr>
                <w:rFonts w:hint="default"/>
                <w:lang w:val="en-US" w:eastAsia="zh-CN"/>
              </w:rPr>
              <w:t>J</w:t>
            </w:r>
            <w:r>
              <w:rPr>
                <w:rFonts w:hint="eastAsia"/>
                <w:lang w:val="en-US" w:eastAsia="zh-CN"/>
              </w:rPr>
              <w:t>1</w:t>
            </w:r>
            <w:r>
              <w:rPr>
                <w:rFonts w:hint="default"/>
                <w:lang w:val="en-US" w:eastAsia="zh-CN"/>
              </w:rPr>
              <w:t>标</w:t>
            </w:r>
            <w:r>
              <w:rPr>
                <w:rFonts w:hint="eastAsia"/>
                <w:lang w:val="en-US" w:eastAsia="zh-CN"/>
              </w:rPr>
              <w:t>碎石加工厂</w:t>
            </w:r>
            <w:r>
              <w:rPr>
                <w:rFonts w:hint="default"/>
                <w:lang w:val="en-US" w:eastAsia="zh-CN"/>
              </w:rPr>
              <w:t>项</w:t>
            </w:r>
            <w:r>
              <w:rPr>
                <w:rFonts w:hint="default"/>
                <w:lang w:val="en-US"/>
              </w:rPr>
              <w:t>目</w:t>
            </w:r>
            <w:r>
              <w:rPr>
                <w:rFonts w:hint="eastAsia"/>
                <w:lang w:val="en-US" w:eastAsia="zh-CN"/>
              </w:rPr>
              <w:t>》意见</w:t>
            </w:r>
            <w:r>
              <w:rPr>
                <w:rFonts w:hint="eastAsia"/>
              </w:rPr>
              <w:t>（</w:t>
            </w:r>
            <w:r>
              <w:rPr>
                <w:rFonts w:hint="eastAsia"/>
                <w:lang w:eastAsia="zh-CN"/>
              </w:rPr>
              <w:t>详</w:t>
            </w:r>
            <w:r>
              <w:rPr>
                <w:rFonts w:hint="eastAsia"/>
              </w:rPr>
              <w:t>见附件</w:t>
            </w:r>
            <w:r>
              <w:rPr>
                <w:rFonts w:hint="eastAsia"/>
                <w:lang w:val="en-US" w:eastAsia="zh-CN"/>
              </w:rPr>
              <w:t>3</w:t>
            </w:r>
            <w:r>
              <w:rPr>
                <w:rFonts w:hint="eastAsia"/>
              </w:rPr>
              <w:t>）。</w:t>
            </w:r>
            <w:r>
              <w:rPr>
                <w:rFonts w:hint="eastAsia"/>
                <w:lang w:val="en-US"/>
              </w:rPr>
              <w:t>评价范围内无自然保护区和其他特别需要保护的敏感目标，无明显的环境制约因素，</w:t>
            </w:r>
            <w:r>
              <w:rPr>
                <w:rFonts w:hint="eastAsia"/>
              </w:rPr>
              <w:t>同时本项目用地不在</w:t>
            </w:r>
            <w:r>
              <w:rPr>
                <w:rFonts w:hint="eastAsia"/>
                <w:lang w:val="en-US"/>
              </w:rPr>
              <w:t>生态保护红线范围内，符合生态保护红线要求。因此，项目选址及规划合理。</w:t>
            </w:r>
          </w:p>
          <w:p>
            <w:pPr>
              <w:keepNext w:val="0"/>
              <w:keepLines w:val="0"/>
              <w:pageBreakBefore w:val="0"/>
              <w:widowControl w:val="0"/>
              <w:kinsoku/>
              <w:wordWrap/>
              <w:overflowPunct/>
              <w:topLinePunct w:val="0"/>
              <w:autoSpaceDE w:val="0"/>
              <w:autoSpaceDN w:val="0"/>
              <w:bidi w:val="0"/>
              <w:adjustRightInd/>
              <w:snapToGrid/>
              <w:spacing w:line="500" w:lineRule="exact"/>
              <w:ind w:left="0" w:right="0" w:firstLine="480" w:firstLineChars="200"/>
              <w:jc w:val="left"/>
              <w:textAlignment w:val="auto"/>
            </w:pPr>
            <w:r>
              <w:rPr>
                <w:rFonts w:hint="eastAsia"/>
                <w:lang w:val="en-US" w:eastAsia="zh-CN"/>
              </w:rPr>
              <w:t>3、</w:t>
            </w:r>
            <w:r>
              <w:t>三线一单符合性分析：</w:t>
            </w:r>
          </w:p>
          <w:p>
            <w:pPr>
              <w:keepNext w:val="0"/>
              <w:keepLines w:val="0"/>
              <w:pageBreakBefore w:val="0"/>
              <w:widowControl w:val="0"/>
              <w:kinsoku/>
              <w:wordWrap/>
              <w:overflowPunct/>
              <w:topLinePunct w:val="0"/>
              <w:autoSpaceDE w:val="0"/>
              <w:autoSpaceDN w:val="0"/>
              <w:bidi w:val="0"/>
              <w:adjustRightInd/>
              <w:snapToGrid/>
              <w:spacing w:line="500" w:lineRule="exact"/>
              <w:ind w:right="0" w:firstLine="480" w:firstLineChars="200"/>
              <w:jc w:val="left"/>
              <w:textAlignment w:val="auto"/>
              <w:rPr>
                <w:lang w:val="en-US"/>
              </w:rPr>
            </w:pPr>
            <w:r>
              <w:rPr>
                <w:rFonts w:hint="eastAsia"/>
                <w:lang w:val="en-US"/>
              </w:rPr>
              <w:t>根据《关于以改善环境质量为核心加强环境影响评价管理的通知》（环境保护部文件：环评[2016]150号），对“三线一单”的要求，进行项目“三线一单”符合性分析，判定内容简述如下：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right="0" w:rightChars="0" w:firstLine="480" w:firstLineChars="200"/>
              <w:jc w:val="left"/>
              <w:textAlignment w:val="auto"/>
            </w:pPr>
            <w:r>
              <w:rPr>
                <w:rFonts w:hint="eastAsia"/>
              </w:rPr>
              <w:t>⑴</w:t>
            </w:r>
            <w:r>
              <w:t>生态保护红线是生态空间范围内具有特殊重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w:t>
            </w:r>
            <w:r>
              <w:rPr>
                <w:rFonts w:hint="eastAsia"/>
              </w:rPr>
              <w:t>基</w:t>
            </w:r>
            <w:r>
              <w:t>础设施项目外，在生态保护红线范围内，严控各类开发建设活动，依法不予审批技改工业项目和矿产开发项目的环评文件。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right="0" w:rightChars="0" w:firstLine="480" w:firstLineChars="200"/>
              <w:jc w:val="left"/>
              <w:textAlignment w:val="auto"/>
              <w:rPr>
                <w:rFonts w:hint="eastAsia"/>
                <w:lang w:val="en-US" w:eastAsia="zh-CN"/>
              </w:rPr>
            </w:pPr>
            <w:r>
              <w:rPr>
                <w:rFonts w:hint="eastAsia"/>
                <w:lang w:val="en-US" w:eastAsia="zh-CN"/>
              </w:rPr>
              <w:t>本项目位于河北省承德市</w:t>
            </w:r>
            <w:r>
              <w:rPr>
                <w:rFonts w:hint="default"/>
                <w:lang w:val="en-US" w:eastAsia="zh-CN"/>
              </w:rPr>
              <w:t>兴隆县</w:t>
            </w:r>
            <w:r>
              <w:rPr>
                <w:rFonts w:hint="eastAsia"/>
                <w:lang w:val="en-US" w:eastAsia="zh-CN"/>
              </w:rPr>
              <w:t>北营房</w:t>
            </w:r>
            <w:r>
              <w:rPr>
                <w:rFonts w:hint="default"/>
                <w:lang w:val="en-US" w:eastAsia="zh-CN"/>
              </w:rPr>
              <w:t>镇</w:t>
            </w:r>
            <w:r>
              <w:rPr>
                <w:rFonts w:hint="eastAsia"/>
                <w:lang w:val="en-US" w:eastAsia="zh-CN"/>
              </w:rPr>
              <w:t>北营房</w:t>
            </w:r>
            <w:r>
              <w:rPr>
                <w:rFonts w:hint="default"/>
                <w:lang w:val="en-US" w:eastAsia="zh-CN"/>
              </w:rPr>
              <w:t>村</w:t>
            </w:r>
            <w:r>
              <w:rPr>
                <w:rFonts w:hint="eastAsia"/>
                <w:lang w:val="en-US" w:eastAsia="zh-CN"/>
              </w:rPr>
              <w:t>，评价范围内无自然保护区和其他特别需要保护的敏感目标，根据临时用地会签表</w:t>
            </w:r>
            <w:r>
              <w:rPr>
                <w:rFonts w:hint="default"/>
              </w:rPr>
              <w:t>（</w:t>
            </w:r>
            <w:r>
              <w:rPr>
                <w:rFonts w:hint="default"/>
                <w:lang w:eastAsia="zh-CN"/>
              </w:rPr>
              <w:t>详</w:t>
            </w:r>
            <w:r>
              <w:rPr>
                <w:rFonts w:hint="default"/>
              </w:rPr>
              <w:t>见附件</w:t>
            </w:r>
            <w:r>
              <w:rPr>
                <w:rFonts w:hint="eastAsia"/>
                <w:lang w:val="en-US" w:eastAsia="zh-CN"/>
              </w:rPr>
              <w:t>6</w:t>
            </w:r>
            <w:r>
              <w:rPr>
                <w:rFonts w:hint="default"/>
              </w:rPr>
              <w:t>）</w:t>
            </w:r>
            <w:r>
              <w:rPr>
                <w:rFonts w:hint="eastAsia"/>
                <w:lang w:val="en-US" w:eastAsia="zh-CN"/>
              </w:rPr>
              <w:t>，本项目不在生态保护红线范围内，符合生态保护红线要求。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right="0" w:rightChars="0" w:firstLine="480" w:firstLineChars="200"/>
              <w:jc w:val="left"/>
              <w:textAlignment w:val="auto"/>
            </w:pPr>
            <w:r>
              <w:rPr>
                <w:rFonts w:hint="eastAsia"/>
              </w:rPr>
              <w:t>⑵</w:t>
            </w:r>
            <w: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r>
              <w:rPr>
                <w:rFonts w:hint="eastAsia"/>
              </w:rPr>
              <w:t>。</w:t>
            </w:r>
          </w:p>
          <w:p>
            <w:pPr>
              <w:keepNext w:val="0"/>
              <w:keepLines w:val="0"/>
              <w:pageBreakBefore w:val="0"/>
              <w:numPr>
                <w:ilvl w:val="0"/>
                <w:numId w:val="0"/>
              </w:numPr>
              <w:kinsoku/>
              <w:wordWrap/>
              <w:overflowPunct/>
              <w:topLinePunct w:val="0"/>
              <w:autoSpaceDE w:val="0"/>
              <w:autoSpaceDN w:val="0"/>
              <w:bidi w:val="0"/>
              <w:spacing w:line="500" w:lineRule="exact"/>
              <w:ind w:right="0" w:rightChars="0" w:firstLine="480" w:firstLineChars="200"/>
              <w:jc w:val="left"/>
              <w:textAlignment w:val="auto"/>
              <w:rPr>
                <w:rFonts w:hint="default"/>
              </w:rPr>
            </w:pPr>
            <w:r>
              <w:rPr>
                <w:rFonts w:hint="default"/>
                <w:lang w:val="en-US" w:eastAsia="zh-CN"/>
              </w:rPr>
              <w:t>本项目属于《国民经济行业分类》（GB/T4754-2011）中的“C</w:t>
            </w:r>
            <w:r>
              <w:rPr>
                <w:rFonts w:hint="eastAsia"/>
                <w:lang w:val="en-US" w:eastAsia="zh-CN"/>
              </w:rPr>
              <w:t>3039其他建筑材料制造</w:t>
            </w:r>
            <w:r>
              <w:rPr>
                <w:rFonts w:hint="default"/>
                <w:lang w:val="en-US" w:eastAsia="zh-CN"/>
              </w:rPr>
              <w:t>”项目，</w:t>
            </w:r>
            <w:r>
              <w:rPr>
                <w:rFonts w:hint="default"/>
              </w:rPr>
              <w:t>对照河北省发展和改革委员会关于印发《灵寿县等22县（区）国家重点生态功能区产业准入负面清单（试行）》的通知（冀发改规[2018]920号），未列入该负面清单</w:t>
            </w:r>
            <w:r>
              <w:rPr>
                <w:rFonts w:hint="default"/>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right="0" w:rightChars="0" w:firstLine="480" w:firstLineChars="200"/>
              <w:jc w:val="left"/>
              <w:textAlignment w:val="auto"/>
            </w:pPr>
            <w:r>
              <w:rPr>
                <w:rFonts w:hint="eastAsia"/>
              </w:rPr>
              <w:t>⑶</w:t>
            </w:r>
            <w:r>
              <w:t>资源是环境的载体，资源利用上线是各地区能源、水、土地等资源消耗不得突破</w:t>
            </w:r>
            <w:r>
              <w:rPr>
                <w:rFonts w:hint="eastAsia"/>
              </w:rPr>
              <w:t>的“天花板”</w:t>
            </w:r>
            <w:r>
              <w:t>。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leftChars="0" w:right="0" w:rightChars="0" w:firstLine="480" w:firstLineChars="200"/>
              <w:jc w:val="left"/>
              <w:textAlignment w:val="auto"/>
              <w:rPr>
                <w:rFonts w:hint="eastAsia"/>
                <w:lang w:eastAsia="zh-CN"/>
              </w:rPr>
            </w:pPr>
            <w:r>
              <w:t>项目不属于资源开发类项目，</w:t>
            </w:r>
            <w:r>
              <w:rPr>
                <w:rFonts w:hint="default"/>
              </w:rPr>
              <w:t>以</w:t>
            </w:r>
            <w:r>
              <w:rPr>
                <w:rFonts w:hint="eastAsia"/>
                <w:lang w:eastAsia="zh-CN"/>
              </w:rPr>
              <w:t>承平高速李家营路基弃渣</w:t>
            </w:r>
            <w:r>
              <w:rPr>
                <w:rFonts w:hint="default"/>
              </w:rPr>
              <w:t>为原材料</w:t>
            </w:r>
            <w:r>
              <w:rPr>
                <w:rFonts w:hint="eastAsia"/>
              </w:rPr>
              <w:t>，</w:t>
            </w:r>
            <w:r>
              <w:rPr>
                <w:rFonts w:hint="eastAsia"/>
                <w:lang w:eastAsia="zh-CN"/>
              </w:rPr>
              <w:t>用电</w:t>
            </w:r>
            <w:r>
              <w:rPr>
                <w:rFonts w:hint="eastAsia"/>
                <w:lang w:val="en-US" w:eastAsia="zh-CN"/>
              </w:rPr>
              <w:t>自备变压器</w:t>
            </w:r>
            <w:r>
              <w:rPr>
                <w:rFonts w:hint="eastAsia"/>
                <w:lang w:eastAsia="zh-CN"/>
              </w:rPr>
              <w:t>，接入当地电网；用水循环利用，不外排，合理利用资源。</w:t>
            </w:r>
          </w:p>
          <w:p>
            <w:pPr>
              <w:keepNext w:val="0"/>
              <w:keepLines w:val="0"/>
              <w:pageBreakBefore w:val="0"/>
              <w:widowControl w:val="0"/>
              <w:kinsoku/>
              <w:wordWrap/>
              <w:overflowPunct/>
              <w:topLinePunct w:val="0"/>
              <w:autoSpaceDE w:val="0"/>
              <w:autoSpaceDN w:val="0"/>
              <w:bidi w:val="0"/>
              <w:adjustRightInd/>
              <w:snapToGrid/>
              <w:spacing w:line="500" w:lineRule="exact"/>
              <w:ind w:right="0" w:firstLine="480" w:firstLineChars="200"/>
              <w:jc w:val="left"/>
              <w:textAlignment w:val="auto"/>
              <w:rPr>
                <w:rFonts w:hint="eastAsia"/>
                <w:lang w:val="en-US" w:eastAsia="zh-CN"/>
              </w:rPr>
            </w:pPr>
            <w:r>
              <w:rPr>
                <w:rFonts w:hint="eastAsia"/>
              </w:rPr>
              <w:t>⑷</w:t>
            </w:r>
            <w:r>
              <w:t>负面清单</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right="0" w:rightChars="0" w:firstLine="480" w:firstLineChars="200"/>
              <w:jc w:val="both"/>
              <w:textAlignment w:val="auto"/>
              <w:rPr>
                <w:rFonts w:hint="default"/>
              </w:rPr>
            </w:pPr>
            <w:r>
              <w:rPr>
                <w:rFonts w:hint="default"/>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firstLine="480" w:firstLineChars="200"/>
              <w:jc w:val="both"/>
              <w:textAlignment w:val="auto"/>
              <w:rPr>
                <w:rFonts w:hint="default"/>
              </w:rPr>
            </w:pPr>
            <w:r>
              <w:rPr>
                <w:rFonts w:hint="default"/>
              </w:rPr>
              <w:t>本项目不属于《市场准入负面清单（20</w:t>
            </w:r>
            <w:r>
              <w:rPr>
                <w:rFonts w:hint="default"/>
                <w:lang w:val="en-US" w:eastAsia="zh-CN"/>
              </w:rPr>
              <w:t>20</w:t>
            </w:r>
            <w:r>
              <w:rPr>
                <w:rFonts w:hint="default"/>
              </w:rPr>
              <w:t>年版）》（发改体改规〔2020〕1880号）所列的禁止准入类范围。</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firstLine="480" w:firstLineChars="200"/>
              <w:jc w:val="both"/>
              <w:textAlignment w:val="auto"/>
              <w:rPr>
                <w:rFonts w:hint="default"/>
              </w:rPr>
            </w:pPr>
            <w:r>
              <w:rPr>
                <w:rFonts w:hint="default"/>
              </w:rPr>
              <w:t>根据《承德市人民政府关于加快实施“三线一单”生态环境分区管控意见》：</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firstLine="480" w:firstLineChars="200"/>
              <w:jc w:val="both"/>
              <w:textAlignment w:val="auto"/>
              <w:rPr>
                <w:rFonts w:hint="default"/>
              </w:rPr>
            </w:pPr>
            <w:r>
              <w:rPr>
                <w:rFonts w:hint="default"/>
              </w:rPr>
              <w:t>环境保护单元包括优先保护、重点管控和一般管控单元三类。</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firstLine="480" w:firstLineChars="200"/>
              <w:jc w:val="both"/>
              <w:textAlignment w:val="auto"/>
              <w:rPr>
                <w:rFonts w:hint="default"/>
              </w:rPr>
            </w:pPr>
            <w:r>
              <w:rPr>
                <w:rFonts w:hint="default"/>
              </w:rPr>
              <w:t>①优先保护单元：主要包括生态保护红线，各类自然保护地、饮用水水源保护区及其他重要生态功能区等一般生态空间。</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firstLine="480" w:firstLineChars="200"/>
              <w:jc w:val="both"/>
              <w:textAlignment w:val="auto"/>
              <w:rPr>
                <w:rFonts w:hint="default"/>
              </w:rPr>
            </w:pPr>
            <w:r>
              <w:rPr>
                <w:rFonts w:hint="default"/>
              </w:rPr>
              <w:t>②重点管控单元：主要包括城市规划区、省级以上产业园区和开发强度高、污染物排放强度大、环境问题较为突出的区域等。</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firstLine="480" w:firstLineChars="200"/>
              <w:jc w:val="both"/>
              <w:textAlignment w:val="auto"/>
              <w:rPr>
                <w:rFonts w:hint="default"/>
              </w:rPr>
            </w:pPr>
            <w:r>
              <w:rPr>
                <w:rFonts w:hint="default"/>
              </w:rPr>
              <w:t>③一般管控单元：优先保护单元和重点管控单元之外的其他区域。</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firstLine="480" w:firstLineChars="200"/>
              <w:jc w:val="both"/>
              <w:textAlignment w:val="auto"/>
              <w:rPr>
                <w:rFonts w:hint="default"/>
              </w:rPr>
            </w:pPr>
            <w:r>
              <w:rPr>
                <w:rFonts w:hint="eastAsia"/>
              </w:rPr>
              <w:t>⑸</w:t>
            </w:r>
            <w:r>
              <w:rPr>
                <w:rFonts w:hint="default"/>
              </w:rPr>
              <w:t>分类管控要求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firstLine="480" w:firstLineChars="200"/>
              <w:jc w:val="both"/>
              <w:textAlignment w:val="auto"/>
              <w:rPr>
                <w:rFonts w:hint="eastAsia"/>
                <w:lang w:eastAsia="zh-CN"/>
              </w:rPr>
            </w:pPr>
            <w:r>
              <w:rPr>
                <w:rFonts w:hint="default"/>
              </w:rPr>
              <w:t>①优先保护单元：严格落实生态保护红线管理要求，除有限人为活动外，依法依规禁止其他城镇和建设活动。一般生态空间突出生态保护，严禁不符合主体功能定位的各类开发活动，严禁任意改变用途</w:t>
            </w:r>
            <w:r>
              <w:rPr>
                <w:rFonts w:hint="eastAsia"/>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firstLine="480" w:firstLineChars="200"/>
              <w:jc w:val="both"/>
              <w:textAlignment w:val="auto"/>
              <w:rPr>
                <w:rFonts w:hint="default"/>
              </w:rPr>
            </w:pPr>
            <w:r>
              <w:rPr>
                <w:rFonts w:hint="default"/>
              </w:rPr>
              <w:t>②重点管控单元</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firstLine="480" w:firstLineChars="200"/>
              <w:jc w:val="both"/>
              <w:textAlignment w:val="auto"/>
              <w:rPr>
                <w:rFonts w:hint="default"/>
              </w:rPr>
            </w:pPr>
            <w:r>
              <w:rPr>
                <w:rFonts w:hint="default"/>
              </w:rPr>
              <w:t>城镇重点管控单元：优化工业布局，有序实施高污染、高排放工业企业整改或搬迁退出；强化交通污染源管控；完善污水治理设施；加快城镇河流水系环境整治；加强工业污染场地环境风险防控和开发再利用监管。</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firstLine="480" w:firstLineChars="200"/>
              <w:jc w:val="both"/>
              <w:textAlignment w:val="auto"/>
              <w:rPr>
                <w:rFonts w:hint="default"/>
              </w:rPr>
            </w:pPr>
            <w:r>
              <w:rPr>
                <w:rFonts w:hint="default"/>
              </w:rPr>
              <w:t>省级以上产业园区重点管控单元：严格产业准入，完善园区设施建设，推动设施提标改造；实施污染物总量控制，落实排污许可证制度；强化资源利用效率和地下水开采管控。</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firstLine="480" w:firstLineChars="200"/>
              <w:jc w:val="both"/>
              <w:textAlignment w:val="auto"/>
              <w:rPr>
                <w:rFonts w:hint="default"/>
              </w:rPr>
            </w:pPr>
            <w:r>
              <w:rPr>
                <w:rFonts w:hint="default"/>
              </w:rPr>
              <w:t>农业农村重点管控单元：优化规模化畜禽养殖布局，加快农村生态环境综合整治，逐步推进农村污水和生活垃圾治理；减少化肥农药施用量，优化农业种植结构，推动秸秆综合利用</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right="0" w:rightChars="0" w:firstLine="480" w:firstLineChars="200"/>
              <w:jc w:val="left"/>
              <w:textAlignment w:val="auto"/>
              <w:rPr>
                <w:rFonts w:hint="default"/>
              </w:rPr>
            </w:pPr>
            <w:r>
              <w:rPr>
                <w:rFonts w:hint="default"/>
              </w:rPr>
              <w:t>③一般管控单元：严格执行国家和省关于产业准入、总量控制和污染物排放标准等管控要求。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firstLine="480" w:firstLineChars="200"/>
              <w:jc w:val="both"/>
              <w:textAlignment w:val="auto"/>
              <w:rPr>
                <w:rFonts w:hint="eastAsia"/>
                <w:lang w:val="en-US" w:eastAsia="zh-CN"/>
              </w:rPr>
            </w:pPr>
            <w:r>
              <w:rPr>
                <w:rFonts w:hint="eastAsia"/>
                <w:lang w:val="en-US" w:eastAsia="zh-CN"/>
              </w:rPr>
              <w:t>本</w:t>
            </w:r>
            <w:r>
              <w:rPr>
                <w:rFonts w:hint="default"/>
                <w:lang w:val="en-US" w:eastAsia="zh-CN"/>
              </w:rPr>
              <w:t>项目位于</w:t>
            </w:r>
            <w:r>
              <w:rPr>
                <w:rFonts w:hint="eastAsia"/>
                <w:lang w:val="en-US" w:eastAsia="zh-CN"/>
              </w:rPr>
              <w:t>承德市兴隆县北营房镇北营房村</w:t>
            </w:r>
            <w:r>
              <w:rPr>
                <w:rFonts w:hint="default"/>
                <w:lang w:val="en-US" w:eastAsia="zh-CN"/>
              </w:rPr>
              <w:t>，</w:t>
            </w:r>
            <w:r>
              <w:rPr>
                <w:rFonts w:hint="eastAsia"/>
                <w:lang w:val="en-US" w:eastAsia="zh-CN"/>
              </w:rPr>
              <w:t>涉及优先保护单元ZH13082210006。具体分析见下表。</w:t>
            </w:r>
          </w:p>
          <w:p>
            <w:pPr>
              <w:pStyle w:val="3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表1-1承德市“三线一单”生态环境准入清单符合性分析</w:t>
            </w:r>
          </w:p>
          <w:tbl>
            <w:tblPr>
              <w:tblStyle w:val="15"/>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6"/>
              <w:gridCol w:w="240"/>
              <w:gridCol w:w="202"/>
              <w:gridCol w:w="220"/>
              <w:gridCol w:w="373"/>
              <w:gridCol w:w="381"/>
              <w:gridCol w:w="569"/>
              <w:gridCol w:w="711"/>
              <w:gridCol w:w="1474"/>
              <w:gridCol w:w="1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019" w:type="pct"/>
                  <w:noWrap w:val="0"/>
                  <w:vAlign w:val="center"/>
                </w:tcPr>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编号</w:t>
                  </w:r>
                </w:p>
              </w:tc>
              <w:tc>
                <w:tcPr>
                  <w:tcW w:w="169" w:type="pct"/>
                  <w:noWrap w:val="0"/>
                  <w:vAlign w:val="center"/>
                </w:tcPr>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省</w:t>
                  </w:r>
                </w:p>
              </w:tc>
              <w:tc>
                <w:tcPr>
                  <w:tcW w:w="142" w:type="pct"/>
                  <w:noWrap w:val="0"/>
                  <w:vAlign w:val="center"/>
                </w:tcPr>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市</w:t>
                  </w:r>
                </w:p>
              </w:tc>
              <w:tc>
                <w:tcPr>
                  <w:tcW w:w="155" w:type="pct"/>
                  <w:noWrap w:val="0"/>
                  <w:vAlign w:val="center"/>
                </w:tcPr>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县</w:t>
                  </w:r>
                </w:p>
              </w:tc>
              <w:tc>
                <w:tcPr>
                  <w:tcW w:w="262" w:type="pct"/>
                  <w:noWrap w:val="0"/>
                  <w:vAlign w:val="center"/>
                </w:tcPr>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涉及乡镇</w:t>
                  </w:r>
                </w:p>
              </w:tc>
              <w:tc>
                <w:tcPr>
                  <w:tcW w:w="268" w:type="pct"/>
                  <w:noWrap w:val="0"/>
                  <w:vAlign w:val="center"/>
                </w:tcPr>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管控类别</w:t>
                  </w:r>
                </w:p>
              </w:tc>
              <w:tc>
                <w:tcPr>
                  <w:tcW w:w="401" w:type="pct"/>
                  <w:noWrap w:val="0"/>
                  <w:vAlign w:val="center"/>
                </w:tcPr>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环境要素类别</w:t>
                  </w:r>
                </w:p>
              </w:tc>
              <w:tc>
                <w:tcPr>
                  <w:tcW w:w="501" w:type="pct"/>
                  <w:noWrap w:val="0"/>
                  <w:vAlign w:val="center"/>
                </w:tcPr>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维度</w:t>
                  </w:r>
                </w:p>
              </w:tc>
              <w:tc>
                <w:tcPr>
                  <w:tcW w:w="1039" w:type="pct"/>
                  <w:noWrap w:val="0"/>
                  <w:vAlign w:val="center"/>
                </w:tcPr>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管控措施</w:t>
                  </w:r>
                </w:p>
              </w:tc>
              <w:tc>
                <w:tcPr>
                  <w:tcW w:w="1041" w:type="pct"/>
                  <w:noWrap w:val="0"/>
                  <w:vAlign w:val="center"/>
                </w:tcPr>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符合性分析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jc w:val="center"/>
              </w:trPr>
              <w:tc>
                <w:tcPr>
                  <w:tcW w:w="1019" w:type="pct"/>
                  <w:vMerge w:val="restart"/>
                  <w:noWrap w:val="0"/>
                  <w:vAlign w:val="center"/>
                </w:tcPr>
                <w:p>
                  <w:pPr>
                    <w:autoSpaceDE w:val="0"/>
                    <w:autoSpaceDN w:val="0"/>
                    <w:adjustRightInd w:val="0"/>
                    <w:snapToGrid w:val="0"/>
                    <w:spacing w:line="240" w:lineRule="auto"/>
                    <w:jc w:val="center"/>
                    <w:rPr>
                      <w:rFonts w:hint="default"/>
                      <w:sz w:val="21"/>
                      <w:szCs w:val="21"/>
                      <w:lang w:val="en-US" w:eastAsia="zh-CN"/>
                    </w:rPr>
                  </w:pPr>
                </w:p>
                <w:p>
                  <w:pPr>
                    <w:autoSpaceDE w:val="0"/>
                    <w:autoSpaceDN w:val="0"/>
                    <w:adjustRightInd w:val="0"/>
                    <w:snapToGrid w:val="0"/>
                    <w:spacing w:line="240" w:lineRule="auto"/>
                    <w:jc w:val="center"/>
                    <w:rPr>
                      <w:rFonts w:hint="default"/>
                      <w:sz w:val="21"/>
                      <w:szCs w:val="21"/>
                      <w:lang w:val="en-US" w:eastAsia="zh-CN"/>
                    </w:rPr>
                  </w:pPr>
                  <w:r>
                    <w:rPr>
                      <w:rFonts w:hint="default"/>
                      <w:sz w:val="21"/>
                      <w:szCs w:val="21"/>
                    </w:rPr>
                    <w:t>ZH130</w:t>
                  </w:r>
                  <w:r>
                    <w:rPr>
                      <w:rFonts w:hint="eastAsia"/>
                      <w:sz w:val="21"/>
                      <w:szCs w:val="21"/>
                      <w:lang w:val="en-US" w:eastAsia="zh-CN"/>
                    </w:rPr>
                    <w:t>8221</w:t>
                  </w:r>
                  <w:r>
                    <w:rPr>
                      <w:rFonts w:hint="default"/>
                      <w:sz w:val="21"/>
                      <w:szCs w:val="21"/>
                    </w:rPr>
                    <w:t>000</w:t>
                  </w:r>
                  <w:r>
                    <w:rPr>
                      <w:rFonts w:hint="eastAsia"/>
                      <w:sz w:val="21"/>
                      <w:szCs w:val="21"/>
                      <w:lang w:val="en-US" w:eastAsia="zh-CN"/>
                    </w:rPr>
                    <w:t>6</w:t>
                  </w:r>
                </w:p>
              </w:tc>
              <w:tc>
                <w:tcPr>
                  <w:tcW w:w="169" w:type="pct"/>
                  <w:vMerge w:val="restart"/>
                  <w:noWrap w:val="0"/>
                  <w:vAlign w:val="center"/>
                </w:tcPr>
                <w:p>
                  <w:pPr>
                    <w:autoSpaceDE w:val="0"/>
                    <w:autoSpaceDN w:val="0"/>
                    <w:adjustRightInd w:val="0"/>
                    <w:snapToGrid w:val="0"/>
                    <w:spacing w:line="240" w:lineRule="auto"/>
                    <w:jc w:val="center"/>
                    <w:rPr>
                      <w:rFonts w:hint="default"/>
                      <w:sz w:val="21"/>
                      <w:szCs w:val="21"/>
                      <w:lang w:val="en-US" w:eastAsia="zh-CN"/>
                    </w:rPr>
                  </w:pPr>
                </w:p>
                <w:p>
                  <w:pPr>
                    <w:autoSpaceDE w:val="0"/>
                    <w:autoSpaceDN w:val="0"/>
                    <w:adjustRightInd w:val="0"/>
                    <w:snapToGrid w:val="0"/>
                    <w:spacing w:line="240" w:lineRule="auto"/>
                    <w:jc w:val="center"/>
                    <w:rPr>
                      <w:rFonts w:hint="default"/>
                      <w:sz w:val="21"/>
                      <w:szCs w:val="21"/>
                      <w:lang w:val="en-US" w:eastAsia="zh-CN"/>
                    </w:rPr>
                  </w:pPr>
                </w:p>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河北省</w:t>
                  </w:r>
                </w:p>
              </w:tc>
              <w:tc>
                <w:tcPr>
                  <w:tcW w:w="142" w:type="pct"/>
                  <w:vMerge w:val="restart"/>
                  <w:noWrap w:val="0"/>
                  <w:vAlign w:val="center"/>
                </w:tcPr>
                <w:p>
                  <w:pPr>
                    <w:autoSpaceDE w:val="0"/>
                    <w:autoSpaceDN w:val="0"/>
                    <w:adjustRightInd w:val="0"/>
                    <w:snapToGrid w:val="0"/>
                    <w:spacing w:line="240" w:lineRule="auto"/>
                    <w:jc w:val="center"/>
                    <w:rPr>
                      <w:rFonts w:hint="default"/>
                      <w:sz w:val="21"/>
                      <w:szCs w:val="21"/>
                      <w:lang w:val="en-US" w:eastAsia="zh-CN"/>
                    </w:rPr>
                  </w:pPr>
                </w:p>
                <w:p>
                  <w:pPr>
                    <w:autoSpaceDE w:val="0"/>
                    <w:autoSpaceDN w:val="0"/>
                    <w:adjustRightInd w:val="0"/>
                    <w:snapToGrid w:val="0"/>
                    <w:spacing w:line="240" w:lineRule="auto"/>
                    <w:jc w:val="center"/>
                    <w:rPr>
                      <w:rFonts w:hint="default"/>
                      <w:sz w:val="21"/>
                      <w:szCs w:val="21"/>
                      <w:lang w:val="en-US" w:eastAsia="zh-CN"/>
                    </w:rPr>
                  </w:pPr>
                </w:p>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承德市</w:t>
                  </w:r>
                </w:p>
              </w:tc>
              <w:tc>
                <w:tcPr>
                  <w:tcW w:w="155" w:type="pct"/>
                  <w:vMerge w:val="restart"/>
                  <w:noWrap w:val="0"/>
                  <w:vAlign w:val="center"/>
                </w:tcPr>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兴隆县</w:t>
                  </w:r>
                </w:p>
              </w:tc>
              <w:tc>
                <w:tcPr>
                  <w:tcW w:w="262" w:type="pct"/>
                  <w:vMerge w:val="restart"/>
                  <w:noWrap w:val="0"/>
                  <w:vAlign w:val="center"/>
                </w:tcPr>
                <w:p>
                  <w:pPr>
                    <w:autoSpaceDE w:val="0"/>
                    <w:autoSpaceDN w:val="0"/>
                    <w:adjustRightInd w:val="0"/>
                    <w:snapToGrid w:val="0"/>
                    <w:spacing w:line="240" w:lineRule="auto"/>
                    <w:jc w:val="center"/>
                    <w:rPr>
                      <w:rFonts w:hint="eastAsia"/>
                      <w:sz w:val="21"/>
                      <w:szCs w:val="21"/>
                      <w:lang w:val="en-US" w:eastAsia="zh-CN"/>
                    </w:rPr>
                  </w:pPr>
                  <w:r>
                    <w:rPr>
                      <w:rFonts w:hint="eastAsia"/>
                      <w:sz w:val="21"/>
                      <w:szCs w:val="21"/>
                      <w:lang w:val="en-US" w:eastAsia="zh-CN"/>
                    </w:rPr>
                    <w:t>北营房镇</w:t>
                  </w:r>
                </w:p>
              </w:tc>
              <w:tc>
                <w:tcPr>
                  <w:tcW w:w="268" w:type="pct"/>
                  <w:vMerge w:val="restart"/>
                  <w:noWrap w:val="0"/>
                  <w:vAlign w:val="center"/>
                </w:tcPr>
                <w:p>
                  <w:pPr>
                    <w:autoSpaceDE w:val="0"/>
                    <w:autoSpaceDN w:val="0"/>
                    <w:adjustRightInd w:val="0"/>
                    <w:snapToGrid w:val="0"/>
                    <w:spacing w:line="240" w:lineRule="auto"/>
                    <w:jc w:val="center"/>
                    <w:rPr>
                      <w:rFonts w:hint="eastAsia"/>
                      <w:sz w:val="21"/>
                      <w:szCs w:val="21"/>
                      <w:lang w:val="en-US" w:eastAsia="zh-CN"/>
                    </w:rPr>
                  </w:pPr>
                  <w:r>
                    <w:rPr>
                      <w:rFonts w:hint="eastAsia"/>
                      <w:sz w:val="21"/>
                      <w:szCs w:val="21"/>
                      <w:lang w:val="en-US" w:eastAsia="zh-CN"/>
                    </w:rPr>
                    <w:t>优先保护单元</w:t>
                  </w:r>
                </w:p>
              </w:tc>
              <w:tc>
                <w:tcPr>
                  <w:tcW w:w="401" w:type="pct"/>
                  <w:vMerge w:val="restar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jc w:val="center"/>
                    <w:textAlignment w:val="auto"/>
                    <w:rPr>
                      <w:sz w:val="21"/>
                      <w:szCs w:val="21"/>
                    </w:rPr>
                  </w:pPr>
                  <w:r>
                    <w:rPr>
                      <w:rFonts w:hint="eastAsia"/>
                      <w:sz w:val="21"/>
                      <w:szCs w:val="21"/>
                      <w:lang w:val="en-US" w:eastAsia="zh-CN"/>
                    </w:rPr>
                    <w:t>一般生态空间</w:t>
                  </w:r>
                </w:p>
                <w:p>
                  <w:pPr>
                    <w:autoSpaceDE w:val="0"/>
                    <w:autoSpaceDN w:val="0"/>
                    <w:adjustRightInd w:val="0"/>
                    <w:snapToGrid w:val="0"/>
                    <w:spacing w:line="240" w:lineRule="auto"/>
                    <w:jc w:val="center"/>
                    <w:rPr>
                      <w:rFonts w:hint="default"/>
                      <w:sz w:val="21"/>
                      <w:szCs w:val="21"/>
                      <w:lang w:val="en-US" w:eastAsia="zh-CN"/>
                    </w:rPr>
                  </w:pPr>
                </w:p>
              </w:tc>
              <w:tc>
                <w:tcPr>
                  <w:tcW w:w="501" w:type="pct"/>
                  <w:noWrap w:val="0"/>
                  <w:vAlign w:val="center"/>
                </w:tcPr>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空间布局</w:t>
                  </w:r>
                </w:p>
                <w:p>
                  <w:pPr>
                    <w:autoSpaceDE w:val="0"/>
                    <w:autoSpaceDN w:val="0"/>
                    <w:adjustRightInd w:val="0"/>
                    <w:snapToGrid w:val="0"/>
                    <w:spacing w:line="240" w:lineRule="auto"/>
                    <w:jc w:val="center"/>
                    <w:rPr>
                      <w:rFonts w:hint="default"/>
                      <w:sz w:val="21"/>
                      <w:szCs w:val="21"/>
                      <w:lang w:val="en-US" w:eastAsia="zh-CN"/>
                    </w:rPr>
                  </w:pPr>
                  <w:r>
                    <w:rPr>
                      <w:rFonts w:hint="default"/>
                      <w:sz w:val="21"/>
                      <w:szCs w:val="21"/>
                      <w:lang w:val="en-US" w:eastAsia="zh-CN"/>
                    </w:rPr>
                    <w:t>约束</w:t>
                  </w:r>
                </w:p>
              </w:tc>
              <w:tc>
                <w:tcPr>
                  <w:tcW w:w="1039" w:type="pct"/>
                  <w:vMerge w:val="restart"/>
                  <w:noWrap w:val="0"/>
                  <w:vAlign w:val="center"/>
                </w:tcPr>
                <w:p>
                  <w:pPr>
                    <w:autoSpaceDE w:val="0"/>
                    <w:autoSpaceDN w:val="0"/>
                    <w:adjustRightInd w:val="0"/>
                    <w:snapToGrid w:val="0"/>
                    <w:spacing w:line="240" w:lineRule="auto"/>
                    <w:jc w:val="center"/>
                    <w:rPr>
                      <w:rFonts w:hint="eastAsia"/>
                      <w:sz w:val="21"/>
                      <w:szCs w:val="21"/>
                      <w:lang w:val="en-US" w:eastAsia="zh-CN"/>
                    </w:rPr>
                  </w:pPr>
                  <w:r>
                    <w:rPr>
                      <w:rFonts w:hint="eastAsia"/>
                      <w:sz w:val="21"/>
                      <w:szCs w:val="21"/>
                      <w:lang w:val="en-US" w:eastAsia="zh-CN"/>
                    </w:rPr>
                    <w:t>执行承德市总体准入清单中一般生态空间准入要求：承德市生态功能主要为水源涵养与防风固沙型，其分类管控要求如下：针对水源涵养型一般生态空间，禁止新建与扩建各种损害生态系统水源涵养功能的项目，如无序采矿、毁林开荒、湿地和草地开垦、采砂采土等，现有相关开发建设活动，严格管控，引导其合理退出；禁止新建、扩建导致水体污染的产业项目，开展生态清洁小流域的建设；坚持自然恢复为主，人工造林为辅的原则；严格控制载畜量，实行以草定畜，在农牧交错区提倡农牧结合，发展生态产业，培育替代产业，减轻区内畜牧业对水源和生态系统的压力。</w:t>
                  </w:r>
                </w:p>
              </w:tc>
              <w:tc>
                <w:tcPr>
                  <w:tcW w:w="1041"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sz w:val="21"/>
                      <w:szCs w:val="21"/>
                      <w:lang w:eastAsia="zh-CN"/>
                    </w:rPr>
                  </w:pPr>
                  <w:r>
                    <w:rPr>
                      <w:rFonts w:hint="eastAsia"/>
                      <w:sz w:val="21"/>
                      <w:szCs w:val="21"/>
                      <w:lang w:val="en-US"/>
                    </w:rPr>
                    <w:t>项目建设后的生产废水经场内沉淀池沉淀</w:t>
                  </w:r>
                  <w:r>
                    <w:rPr>
                      <w:rFonts w:hint="eastAsia"/>
                      <w:sz w:val="21"/>
                      <w:szCs w:val="21"/>
                      <w:lang w:val="en-US" w:eastAsia="zh-CN"/>
                    </w:rPr>
                    <w:t>后</w:t>
                  </w:r>
                  <w:r>
                    <w:rPr>
                      <w:rFonts w:hint="eastAsia"/>
                      <w:sz w:val="21"/>
                      <w:szCs w:val="21"/>
                      <w:lang w:val="en-US"/>
                    </w:rPr>
                    <w:t>循环利用，废水不外排。本项目所在单元属于水源涵养型一般生态空间，拟建项目不属于损害生态系统水源涵养功能的项目、不属于产业项目。项目的建设不会导致水体污染，亦不属于污染环境、破坏资源和景观的生产设施建设项目。因此，项目符合产业政策</w:t>
                  </w:r>
                  <w:r>
                    <w:rPr>
                      <w:rFonts w:hint="eastAsia"/>
                      <w:sz w:val="21"/>
                      <w:szCs w:val="21"/>
                      <w:lang w:val="en-US" w:eastAsia="zh-CN"/>
                    </w:rPr>
                    <w:t>要求</w:t>
                  </w:r>
                  <w:r>
                    <w:rPr>
                      <w:rFonts w:hint="eastAsia"/>
                      <w:sz w:val="21"/>
                      <w:szCs w:val="21"/>
                      <w:lang w:val="en-US"/>
                    </w:rPr>
                    <w:t>。</w:t>
                  </w:r>
                </w:p>
                <w:p>
                  <w:pPr>
                    <w:autoSpaceDE w:val="0"/>
                    <w:autoSpaceDN w:val="0"/>
                    <w:adjustRightInd w:val="0"/>
                    <w:snapToGrid w:val="0"/>
                    <w:spacing w:line="240" w:lineRule="auto"/>
                    <w:jc w:val="center"/>
                    <w:rPr>
                      <w:rFonts w:hint="default"/>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jc w:val="center"/>
              </w:trPr>
              <w:tc>
                <w:tcPr>
                  <w:tcW w:w="1019" w:type="pct"/>
                  <w:vMerge w:val="continue"/>
                  <w:noWrap w:val="0"/>
                  <w:vAlign w:val="center"/>
                </w:tcPr>
                <w:p>
                  <w:pPr>
                    <w:autoSpaceDE w:val="0"/>
                    <w:autoSpaceDN w:val="0"/>
                    <w:adjustRightInd w:val="0"/>
                    <w:snapToGrid w:val="0"/>
                    <w:spacing w:line="240" w:lineRule="auto"/>
                    <w:jc w:val="center"/>
                    <w:rPr>
                      <w:rFonts w:hint="default"/>
                      <w:sz w:val="21"/>
                      <w:szCs w:val="21"/>
                    </w:rPr>
                  </w:pPr>
                </w:p>
              </w:tc>
              <w:tc>
                <w:tcPr>
                  <w:tcW w:w="169"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c>
                <w:tcPr>
                  <w:tcW w:w="142"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c>
                <w:tcPr>
                  <w:tcW w:w="155"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c>
                <w:tcPr>
                  <w:tcW w:w="262" w:type="pct"/>
                  <w:vMerge w:val="continue"/>
                  <w:noWrap w:val="0"/>
                  <w:vAlign w:val="center"/>
                </w:tcPr>
                <w:p>
                  <w:pPr>
                    <w:autoSpaceDE w:val="0"/>
                    <w:autoSpaceDN w:val="0"/>
                    <w:adjustRightInd w:val="0"/>
                    <w:snapToGrid w:val="0"/>
                    <w:spacing w:line="240" w:lineRule="auto"/>
                    <w:jc w:val="center"/>
                    <w:rPr>
                      <w:rFonts w:hint="eastAsia"/>
                      <w:sz w:val="21"/>
                      <w:szCs w:val="21"/>
                      <w:lang w:val="en-US" w:eastAsia="zh-CN"/>
                    </w:rPr>
                  </w:pPr>
                </w:p>
              </w:tc>
              <w:tc>
                <w:tcPr>
                  <w:tcW w:w="268" w:type="pct"/>
                  <w:vMerge w:val="continue"/>
                  <w:noWrap w:val="0"/>
                  <w:vAlign w:val="center"/>
                </w:tcPr>
                <w:p>
                  <w:pPr>
                    <w:autoSpaceDE w:val="0"/>
                    <w:autoSpaceDN w:val="0"/>
                    <w:adjustRightInd w:val="0"/>
                    <w:snapToGrid w:val="0"/>
                    <w:spacing w:line="240" w:lineRule="auto"/>
                    <w:jc w:val="center"/>
                    <w:rPr>
                      <w:rFonts w:hint="eastAsia"/>
                      <w:sz w:val="21"/>
                      <w:szCs w:val="21"/>
                      <w:lang w:val="en-US" w:eastAsia="zh-CN"/>
                    </w:rPr>
                  </w:pPr>
                </w:p>
              </w:tc>
              <w:tc>
                <w:tcPr>
                  <w:tcW w:w="401"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c>
                <w:tcPr>
                  <w:tcW w:w="501" w:type="pct"/>
                  <w:noWrap w:val="0"/>
                  <w:vAlign w:val="center"/>
                </w:tcPr>
                <w:p>
                  <w:pPr>
                    <w:autoSpaceDE w:val="0"/>
                    <w:autoSpaceDN w:val="0"/>
                    <w:adjustRightInd w:val="0"/>
                    <w:snapToGrid w:val="0"/>
                    <w:spacing w:line="240" w:lineRule="auto"/>
                    <w:ind w:left="0" w:leftChars="0" w:right="0" w:rightChars="0"/>
                    <w:jc w:val="center"/>
                    <w:rPr>
                      <w:rFonts w:hint="default"/>
                      <w:sz w:val="21"/>
                      <w:szCs w:val="21"/>
                      <w:lang w:val="en-US" w:eastAsia="zh-CN"/>
                    </w:rPr>
                  </w:pPr>
                  <w:r>
                    <w:rPr>
                      <w:rFonts w:hint="default"/>
                      <w:sz w:val="21"/>
                      <w:szCs w:val="21"/>
                      <w:lang w:val="en-US" w:eastAsia="zh-CN"/>
                    </w:rPr>
                    <w:t>污染物排放管控</w:t>
                  </w:r>
                </w:p>
              </w:tc>
              <w:tc>
                <w:tcPr>
                  <w:tcW w:w="1039" w:type="pct"/>
                  <w:vMerge w:val="continue"/>
                  <w:noWrap w:val="0"/>
                  <w:vAlign w:val="center"/>
                </w:tcPr>
                <w:p>
                  <w:pPr>
                    <w:autoSpaceDE w:val="0"/>
                    <w:autoSpaceDN w:val="0"/>
                    <w:adjustRightInd w:val="0"/>
                    <w:snapToGrid w:val="0"/>
                    <w:spacing w:line="240" w:lineRule="auto"/>
                    <w:jc w:val="center"/>
                    <w:rPr>
                      <w:rFonts w:hint="eastAsia"/>
                      <w:sz w:val="21"/>
                      <w:szCs w:val="21"/>
                      <w:lang w:val="en-US" w:eastAsia="zh-CN"/>
                    </w:rPr>
                  </w:pPr>
                </w:p>
              </w:tc>
              <w:tc>
                <w:tcPr>
                  <w:tcW w:w="1041"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jc w:val="center"/>
              </w:trPr>
              <w:tc>
                <w:tcPr>
                  <w:tcW w:w="1019" w:type="pct"/>
                  <w:vMerge w:val="continue"/>
                  <w:noWrap w:val="0"/>
                  <w:vAlign w:val="center"/>
                </w:tcPr>
                <w:p>
                  <w:pPr>
                    <w:autoSpaceDE w:val="0"/>
                    <w:autoSpaceDN w:val="0"/>
                    <w:adjustRightInd w:val="0"/>
                    <w:snapToGrid w:val="0"/>
                    <w:spacing w:line="240" w:lineRule="auto"/>
                    <w:jc w:val="center"/>
                    <w:rPr>
                      <w:rFonts w:hint="default"/>
                      <w:sz w:val="21"/>
                      <w:szCs w:val="21"/>
                    </w:rPr>
                  </w:pPr>
                </w:p>
              </w:tc>
              <w:tc>
                <w:tcPr>
                  <w:tcW w:w="169"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c>
                <w:tcPr>
                  <w:tcW w:w="142"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c>
                <w:tcPr>
                  <w:tcW w:w="155"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c>
                <w:tcPr>
                  <w:tcW w:w="262" w:type="pct"/>
                  <w:vMerge w:val="continue"/>
                  <w:noWrap w:val="0"/>
                  <w:vAlign w:val="center"/>
                </w:tcPr>
                <w:p>
                  <w:pPr>
                    <w:autoSpaceDE w:val="0"/>
                    <w:autoSpaceDN w:val="0"/>
                    <w:adjustRightInd w:val="0"/>
                    <w:snapToGrid w:val="0"/>
                    <w:spacing w:line="240" w:lineRule="auto"/>
                    <w:jc w:val="center"/>
                    <w:rPr>
                      <w:rFonts w:hint="eastAsia"/>
                      <w:sz w:val="21"/>
                      <w:szCs w:val="21"/>
                      <w:lang w:val="en-US" w:eastAsia="zh-CN"/>
                    </w:rPr>
                  </w:pPr>
                </w:p>
              </w:tc>
              <w:tc>
                <w:tcPr>
                  <w:tcW w:w="268" w:type="pct"/>
                  <w:vMerge w:val="continue"/>
                  <w:noWrap w:val="0"/>
                  <w:vAlign w:val="center"/>
                </w:tcPr>
                <w:p>
                  <w:pPr>
                    <w:autoSpaceDE w:val="0"/>
                    <w:autoSpaceDN w:val="0"/>
                    <w:adjustRightInd w:val="0"/>
                    <w:snapToGrid w:val="0"/>
                    <w:spacing w:line="240" w:lineRule="auto"/>
                    <w:jc w:val="center"/>
                    <w:rPr>
                      <w:rFonts w:hint="eastAsia"/>
                      <w:sz w:val="21"/>
                      <w:szCs w:val="21"/>
                      <w:lang w:val="en-US" w:eastAsia="zh-CN"/>
                    </w:rPr>
                  </w:pPr>
                </w:p>
              </w:tc>
              <w:tc>
                <w:tcPr>
                  <w:tcW w:w="401"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c>
                <w:tcPr>
                  <w:tcW w:w="501" w:type="pct"/>
                  <w:noWrap w:val="0"/>
                  <w:vAlign w:val="center"/>
                </w:tcPr>
                <w:p>
                  <w:pPr>
                    <w:autoSpaceDE w:val="0"/>
                    <w:autoSpaceDN w:val="0"/>
                    <w:adjustRightInd w:val="0"/>
                    <w:snapToGrid w:val="0"/>
                    <w:spacing w:line="240" w:lineRule="auto"/>
                    <w:ind w:left="0" w:leftChars="0" w:right="0" w:rightChars="0"/>
                    <w:jc w:val="center"/>
                    <w:rPr>
                      <w:rFonts w:hint="default"/>
                      <w:sz w:val="21"/>
                      <w:szCs w:val="21"/>
                      <w:lang w:val="en-US" w:eastAsia="zh-CN"/>
                    </w:rPr>
                  </w:pPr>
                  <w:r>
                    <w:rPr>
                      <w:rFonts w:hint="default"/>
                      <w:sz w:val="21"/>
                      <w:szCs w:val="21"/>
                      <w:lang w:val="en-US" w:eastAsia="zh-CN"/>
                    </w:rPr>
                    <w:t>环境风险防控</w:t>
                  </w:r>
                </w:p>
              </w:tc>
              <w:tc>
                <w:tcPr>
                  <w:tcW w:w="1039" w:type="pct"/>
                  <w:vMerge w:val="continue"/>
                  <w:noWrap w:val="0"/>
                  <w:vAlign w:val="center"/>
                </w:tcPr>
                <w:p>
                  <w:pPr>
                    <w:autoSpaceDE w:val="0"/>
                    <w:autoSpaceDN w:val="0"/>
                    <w:adjustRightInd w:val="0"/>
                    <w:snapToGrid w:val="0"/>
                    <w:spacing w:line="240" w:lineRule="auto"/>
                    <w:jc w:val="center"/>
                    <w:rPr>
                      <w:rFonts w:hint="eastAsia"/>
                      <w:sz w:val="21"/>
                      <w:szCs w:val="21"/>
                      <w:lang w:val="en-US" w:eastAsia="zh-CN"/>
                    </w:rPr>
                  </w:pPr>
                </w:p>
              </w:tc>
              <w:tc>
                <w:tcPr>
                  <w:tcW w:w="1041"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jc w:val="center"/>
              </w:trPr>
              <w:tc>
                <w:tcPr>
                  <w:tcW w:w="1019" w:type="pct"/>
                  <w:vMerge w:val="continue"/>
                  <w:noWrap w:val="0"/>
                  <w:vAlign w:val="center"/>
                </w:tcPr>
                <w:p>
                  <w:pPr>
                    <w:autoSpaceDE w:val="0"/>
                    <w:autoSpaceDN w:val="0"/>
                    <w:adjustRightInd w:val="0"/>
                    <w:snapToGrid w:val="0"/>
                    <w:spacing w:line="240" w:lineRule="auto"/>
                    <w:jc w:val="center"/>
                    <w:rPr>
                      <w:rFonts w:hint="default"/>
                      <w:sz w:val="21"/>
                      <w:szCs w:val="21"/>
                    </w:rPr>
                  </w:pPr>
                </w:p>
              </w:tc>
              <w:tc>
                <w:tcPr>
                  <w:tcW w:w="169"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c>
                <w:tcPr>
                  <w:tcW w:w="142"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c>
                <w:tcPr>
                  <w:tcW w:w="155"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c>
                <w:tcPr>
                  <w:tcW w:w="262" w:type="pct"/>
                  <w:vMerge w:val="continue"/>
                  <w:noWrap w:val="0"/>
                  <w:vAlign w:val="center"/>
                </w:tcPr>
                <w:p>
                  <w:pPr>
                    <w:autoSpaceDE w:val="0"/>
                    <w:autoSpaceDN w:val="0"/>
                    <w:adjustRightInd w:val="0"/>
                    <w:snapToGrid w:val="0"/>
                    <w:spacing w:line="240" w:lineRule="auto"/>
                    <w:jc w:val="center"/>
                    <w:rPr>
                      <w:rFonts w:hint="eastAsia"/>
                      <w:sz w:val="21"/>
                      <w:szCs w:val="21"/>
                      <w:lang w:val="en-US" w:eastAsia="zh-CN"/>
                    </w:rPr>
                  </w:pPr>
                </w:p>
              </w:tc>
              <w:tc>
                <w:tcPr>
                  <w:tcW w:w="268" w:type="pct"/>
                  <w:vMerge w:val="continue"/>
                  <w:noWrap w:val="0"/>
                  <w:vAlign w:val="center"/>
                </w:tcPr>
                <w:p>
                  <w:pPr>
                    <w:autoSpaceDE w:val="0"/>
                    <w:autoSpaceDN w:val="0"/>
                    <w:adjustRightInd w:val="0"/>
                    <w:snapToGrid w:val="0"/>
                    <w:spacing w:line="240" w:lineRule="auto"/>
                    <w:jc w:val="center"/>
                    <w:rPr>
                      <w:rFonts w:hint="eastAsia"/>
                      <w:sz w:val="21"/>
                      <w:szCs w:val="21"/>
                      <w:lang w:val="en-US" w:eastAsia="zh-CN"/>
                    </w:rPr>
                  </w:pPr>
                </w:p>
              </w:tc>
              <w:tc>
                <w:tcPr>
                  <w:tcW w:w="401"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c>
                <w:tcPr>
                  <w:tcW w:w="501" w:type="pct"/>
                  <w:noWrap w:val="0"/>
                  <w:vAlign w:val="center"/>
                </w:tcPr>
                <w:p>
                  <w:pPr>
                    <w:autoSpaceDE w:val="0"/>
                    <w:autoSpaceDN w:val="0"/>
                    <w:adjustRightInd w:val="0"/>
                    <w:snapToGrid w:val="0"/>
                    <w:spacing w:line="240" w:lineRule="auto"/>
                    <w:jc w:val="center"/>
                    <w:rPr>
                      <w:rFonts w:hint="default"/>
                      <w:sz w:val="21"/>
                      <w:szCs w:val="21"/>
                      <w:lang w:val="en-US" w:eastAsia="zh-CN"/>
                    </w:rPr>
                  </w:pPr>
                  <w:r>
                    <w:rPr>
                      <w:rFonts w:hint="eastAsia"/>
                      <w:sz w:val="21"/>
                      <w:szCs w:val="21"/>
                      <w:lang w:val="en-US" w:eastAsia="zh-CN"/>
                    </w:rPr>
                    <w:t>资源利用率</w:t>
                  </w:r>
                </w:p>
              </w:tc>
              <w:tc>
                <w:tcPr>
                  <w:tcW w:w="1039" w:type="pct"/>
                  <w:vMerge w:val="continue"/>
                  <w:noWrap w:val="0"/>
                  <w:vAlign w:val="center"/>
                </w:tcPr>
                <w:p>
                  <w:pPr>
                    <w:autoSpaceDE w:val="0"/>
                    <w:autoSpaceDN w:val="0"/>
                    <w:adjustRightInd w:val="0"/>
                    <w:snapToGrid w:val="0"/>
                    <w:spacing w:line="240" w:lineRule="auto"/>
                    <w:jc w:val="center"/>
                    <w:rPr>
                      <w:rFonts w:hint="eastAsia"/>
                      <w:sz w:val="21"/>
                      <w:szCs w:val="21"/>
                      <w:lang w:val="en-US" w:eastAsia="zh-CN"/>
                    </w:rPr>
                  </w:pPr>
                </w:p>
              </w:tc>
              <w:tc>
                <w:tcPr>
                  <w:tcW w:w="1041" w:type="pct"/>
                  <w:vMerge w:val="continue"/>
                  <w:noWrap w:val="0"/>
                  <w:vAlign w:val="center"/>
                </w:tcPr>
                <w:p>
                  <w:pPr>
                    <w:autoSpaceDE w:val="0"/>
                    <w:autoSpaceDN w:val="0"/>
                    <w:adjustRightInd w:val="0"/>
                    <w:snapToGrid w:val="0"/>
                    <w:spacing w:line="240" w:lineRule="auto"/>
                    <w:jc w:val="center"/>
                    <w:rPr>
                      <w:rFonts w:hint="default"/>
                      <w:sz w:val="21"/>
                      <w:szCs w:val="21"/>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default"/>
                <w:lang w:val="en-US" w:eastAsia="zh-CN"/>
              </w:rPr>
            </w:pPr>
            <w:r>
              <w:rPr>
                <w:rFonts w:hint="default"/>
                <w:lang w:val="en-US" w:eastAsia="zh-CN"/>
              </w:rPr>
              <w:t>根承德市环境管控单元图见下图：</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left"/>
              <w:textAlignment w:val="auto"/>
              <w:rPr>
                <w:rFonts w:hint="default"/>
                <w:lang w:val="en-US" w:eastAsia="zh-CN"/>
              </w:rPr>
            </w:pPr>
            <w:r>
              <w:rPr>
                <w:rFonts w:hint="default"/>
                <w:lang w:val="en-US" w:eastAsia="zh-CN"/>
              </w:rPr>
              <w:drawing>
                <wp:anchor distT="0" distB="0" distL="114300" distR="114300" simplePos="0" relativeHeight="251673600" behindDoc="0" locked="0" layoutInCell="1" allowOverlap="1">
                  <wp:simplePos x="0" y="0"/>
                  <wp:positionH relativeFrom="column">
                    <wp:posOffset>239395</wp:posOffset>
                  </wp:positionH>
                  <wp:positionV relativeFrom="paragraph">
                    <wp:posOffset>148590</wp:posOffset>
                  </wp:positionV>
                  <wp:extent cx="3829685" cy="2708275"/>
                  <wp:effectExtent l="0" t="0" r="18415" b="15875"/>
                  <wp:wrapNone/>
                  <wp:docPr id="13" name="图片 13" descr="承德市环境管控单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承德市环境管控单元图"/>
                          <pic:cNvPicPr>
                            <a:picLocks noChangeAspect="1"/>
                          </pic:cNvPicPr>
                        </pic:nvPicPr>
                        <pic:blipFill>
                          <a:blip r:embed="rId11"/>
                          <a:stretch>
                            <a:fillRect/>
                          </a:stretch>
                        </pic:blipFill>
                        <pic:spPr>
                          <a:xfrm>
                            <a:off x="0" y="0"/>
                            <a:ext cx="3829685" cy="27082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default"/>
                <w:lang w:val="en-US" w:eastAsia="zh-CN"/>
              </w:rPr>
            </w:pPr>
          </w:p>
          <w:p>
            <w:pPr>
              <w:jc w:val="both"/>
              <w:rPr>
                <w:rFonts w:hint="default"/>
                <w:lang w:val="en-US" w:eastAsia="zh-CN"/>
              </w:rPr>
            </w:pPr>
          </w:p>
          <w:p>
            <w:pPr>
              <w:ind w:firstLine="480" w:firstLineChars="200"/>
              <w:jc w:val="both"/>
              <w:rPr>
                <w:rFonts w:hint="default"/>
                <w:lang w:val="en-US" w:eastAsia="zh-CN"/>
              </w:rPr>
            </w:pPr>
            <w:r>
              <w:rPr>
                <w:rFonts w:hint="default"/>
              </w:rPr>
              <mc:AlternateContent>
                <mc:Choice Requires="wps">
                  <w:drawing>
                    <wp:anchor distT="0" distB="0" distL="114300" distR="114300" simplePos="0" relativeHeight="251674624" behindDoc="0" locked="0" layoutInCell="1" allowOverlap="1">
                      <wp:simplePos x="0" y="0"/>
                      <wp:positionH relativeFrom="column">
                        <wp:posOffset>1154430</wp:posOffset>
                      </wp:positionH>
                      <wp:positionV relativeFrom="paragraph">
                        <wp:posOffset>100965</wp:posOffset>
                      </wp:positionV>
                      <wp:extent cx="1042670" cy="363220"/>
                      <wp:effectExtent l="5080" t="4445" r="19050" b="470535"/>
                      <wp:wrapNone/>
                      <wp:docPr id="8" name="矩形标注 8"/>
                      <wp:cNvGraphicFramePr/>
                      <a:graphic xmlns:a="http://schemas.openxmlformats.org/drawingml/2006/main">
                        <a:graphicData uri="http://schemas.microsoft.com/office/word/2010/wordprocessingShape">
                          <wps:wsp>
                            <wps:cNvSpPr/>
                            <wps:spPr>
                              <a:xfrm>
                                <a:off x="0" y="0"/>
                                <a:ext cx="1042670" cy="363220"/>
                              </a:xfrm>
                              <a:prstGeom prst="wedgeRectCallout">
                                <a:avLst>
                                  <a:gd name="adj1" fmla="val 1644"/>
                                  <a:gd name="adj2" fmla="val 169819"/>
                                </a:avLst>
                              </a:prstGeom>
                              <a:noFill/>
                              <a:ln w="9525" cap="flat" cmpd="sng">
                                <a:solidFill>
                                  <a:srgbClr val="FF0000"/>
                                </a:solidFill>
                                <a:prstDash val="solid"/>
                                <a:miter/>
                                <a:headEnd type="none" w="med" len="med"/>
                                <a:tailEnd type="none" w="med" len="med"/>
                              </a:ln>
                            </wps:spPr>
                            <wps:txbx>
                              <w:txbxContent>
                                <w:p>
                                  <w:pPr>
                                    <w:rPr>
                                      <w:rFonts w:hint="default" w:eastAsia="宋体"/>
                                      <w:color w:val="FF0000"/>
                                      <w:sz w:val="21"/>
                                      <w:szCs w:val="21"/>
                                      <w:lang w:val="en-US" w:eastAsia="zh-CN"/>
                                    </w:rPr>
                                  </w:pPr>
                                  <w:r>
                                    <w:rPr>
                                      <w:rFonts w:hint="eastAsia"/>
                                      <w:b/>
                                      <w:bCs/>
                                      <w:color w:val="FF0000"/>
                                      <w:sz w:val="21"/>
                                      <w:szCs w:val="21"/>
                                      <w:lang w:val="en-US" w:eastAsia="zh-CN"/>
                                    </w:rPr>
                                    <w:t>项目所在位置</w:t>
                                  </w:r>
                                </w:p>
                              </w:txbxContent>
                            </wps:txbx>
                            <wps:bodyPr upright="1"/>
                          </wps:wsp>
                        </a:graphicData>
                      </a:graphic>
                    </wp:anchor>
                  </w:drawing>
                </mc:Choice>
                <mc:Fallback>
                  <w:pict>
                    <v:shape id="_x0000_s1026" o:spid="_x0000_s1026" o:spt="61" type="#_x0000_t61" style="position:absolute;left:0pt;margin-left:90.9pt;margin-top:7.95pt;height:28.6pt;width:82.1pt;z-index:251674624;mso-width-relative:page;mso-height-relative:page;" filled="f" stroked="t" coordsize="21600,21600" o:gfxdata="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Ka3etkAAAAJAQAADwAAAAAAAAABACAAAAAiAAAAZHJzL2Rvd25yZXYu&#10;eG1sUEsBAhQAFAAAAAgAh07iQHS9K2wzAgAAYwQAAA4AAAAAAAAAAQAgAAAAKAEAAGRycy9lMm9E&#10;b2MueG1sUEsFBgAAAAAGAAYAWQEAAM0FAAAAAA==&#10;" adj="11155,47481">
                      <v:fill on="f" focussize="0,0"/>
                      <v:stroke color="#FF0000" joinstyle="miter"/>
                      <v:imagedata o:title=""/>
                      <o:lock v:ext="edit" aspectratio="f"/>
                      <v:textbox>
                        <w:txbxContent>
                          <w:p>
                            <w:pPr>
                              <w:rPr>
                                <w:rFonts w:hint="default" w:eastAsia="宋体"/>
                                <w:color w:val="FF0000"/>
                                <w:sz w:val="21"/>
                                <w:szCs w:val="21"/>
                                <w:lang w:val="en-US" w:eastAsia="zh-CN"/>
                              </w:rPr>
                            </w:pPr>
                            <w:r>
                              <w:rPr>
                                <w:rFonts w:hint="eastAsia"/>
                                <w:b/>
                                <w:bCs/>
                                <w:color w:val="FF0000"/>
                                <w:sz w:val="21"/>
                                <w:szCs w:val="21"/>
                                <w:lang w:val="en-US" w:eastAsia="zh-CN"/>
                              </w:rPr>
                              <w:t>项目所在位置</w:t>
                            </w:r>
                          </w:p>
                        </w:txbxContent>
                      </v:textbox>
                    </v:shape>
                  </w:pict>
                </mc:Fallback>
              </mc:AlternateContent>
            </w:r>
          </w:p>
          <w:p>
            <w:pPr>
              <w:ind w:firstLine="480" w:firstLineChars="200"/>
              <w:jc w:val="both"/>
              <w:rPr>
                <w:rFonts w:hint="default"/>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lang w:val="en-US" w:eastAsia="zh-CN"/>
              </w:rPr>
            </w:pPr>
            <w:r>
              <w:rPr>
                <w:rFonts w:hint="default"/>
                <w:lang w:val="en-US" w:eastAsia="zh-CN"/>
              </w:rPr>
              <w:t>图</w:t>
            </w:r>
            <w:r>
              <w:rPr>
                <w:rFonts w:hint="eastAsia"/>
                <w:lang w:val="en-US" w:eastAsia="zh-CN"/>
              </w:rPr>
              <w:t>1-1</w:t>
            </w:r>
            <w:r>
              <w:rPr>
                <w:rFonts w:hint="default"/>
                <w:lang w:val="en-US" w:eastAsia="zh-CN"/>
              </w:rPr>
              <w:t>承德市环境管控单元图</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both"/>
              <w:textAlignment w:val="auto"/>
              <w:rPr>
                <w:rFonts w:hint="default"/>
                <w:lang w:val="en-US" w:eastAsia="zh-CN"/>
              </w:rPr>
            </w:pPr>
            <w:r>
              <w:rPr>
                <w:rFonts w:hint="default"/>
                <w:lang w:val="en-US" w:eastAsia="zh-CN"/>
              </w:rPr>
              <w:t>由上表及图可知，项目符合《关于以改善环境质量为核心加强环境影响评价管理的通知》（环评[2016]150号）、《承德市人民政府关于加快实</w:t>
            </w:r>
            <w:r>
              <w:rPr>
                <w:rFonts w:hint="eastAsia"/>
                <w:lang w:val="en-US" w:eastAsia="zh-CN"/>
              </w:rPr>
              <w:t>施“三线一单”生态环</w:t>
            </w:r>
            <w:r>
              <w:rPr>
                <w:rFonts w:hint="default"/>
                <w:lang w:val="en-US" w:eastAsia="zh-CN"/>
              </w:rPr>
              <w:t>境分区管控的意见》（承德市生态环境局2021年6月</w:t>
            </w:r>
            <w:r>
              <w:rPr>
                <w:rFonts w:hint="eastAsia"/>
                <w:lang w:val="en-US" w:eastAsia="zh-CN"/>
              </w:rPr>
              <w:t>21</w:t>
            </w:r>
            <w:r>
              <w:rPr>
                <w:rFonts w:hint="default"/>
                <w:lang w:val="en-US" w:eastAsia="zh-CN"/>
              </w:rPr>
              <w:t>发布）的环境管理要求。</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4、规划符合性分析</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b w:val="0"/>
                <w:bCs w:val="0"/>
                <w:color w:val="auto"/>
                <w:kern w:val="0"/>
                <w:sz w:val="24"/>
                <w:szCs w:val="24"/>
                <w:lang w:val="en-US" w:eastAsia="zh-CN" w:bidi="ar"/>
              </w:rPr>
              <w:t>⑴与《河北省生态环境保护“十四五”规划》的符合性分析</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河北省生态环境保护“十四五”规划》要求：生态环境支撑能力明显增强。统筹山水林田湖草系统治理，划定并调整生态保护红线，编制完成“三线一单”，违法违规破坏生态环境问题专项整治成效显著。大力实施“三北防护林”、京津风沙源治理、退耕还草还林轮牧、绿色矿山等一系列生态建设工程，森林覆盖率达到35%以上。加强生态文明示范创建，河北省塞罕坝机械林场被联合国授予“地球卫士奖”，迁西县、井陉县分别获得第四批“国家生态文明建设示范县”和“绿水青山就是金山银山”实践创新基地称号。</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做大做强环保产业。做大做强环保装备制造业，培育一批技术先进、管理科学的环保装备制造龙头企业，实现特色优势环保装备制造领域高端化发展。做新做优环境服务业，推行环境污染第三方治理、环保管家、环境综合治理托管服务等模式，提升环境治理市场化、专业化水平。做精做专资源综合利用业，加强秸秆、尾矿、煤矸石、冶炼渣、工业副产石膏等综合利用，规范废旧物资回收利用，构建协同高效的资源综合利用产业发展新格局。推动生态环保产业与5G、物联网、云计算、大数据、区块链、人工智能等新一代信息技术深度融合，提高产业信息化、智能化水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对产生的废气、废水均采取了合理的措施，建设单位做好厂区及周边的水土保持工作，加强厂区绿化，根据自然资源损失补偿和受损区域恢复原则，采取一定的生态恢复和补偿措施，以消减生态影响程度，减少环境损失，改善区域生态系统功能。因此，项目符合《河北省生态环境保护“十四五”规划》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cs="Times New Roman"/>
                <w:b w:val="0"/>
                <w:bCs w:val="0"/>
                <w:color w:val="auto"/>
                <w:sz w:val="24"/>
                <w:szCs w:val="24"/>
                <w:lang w:val="en-US" w:eastAsia="zh-CN"/>
              </w:rPr>
              <w:t>⑵</w:t>
            </w:r>
            <w:r>
              <w:rPr>
                <w:rFonts w:hint="default" w:ascii="Times New Roman" w:hAnsi="Times New Roman" w:eastAsia="宋体" w:cs="Times New Roman"/>
                <w:b w:val="0"/>
                <w:bCs w:val="0"/>
                <w:color w:val="auto"/>
                <w:kern w:val="0"/>
                <w:sz w:val="24"/>
                <w:szCs w:val="24"/>
                <w:lang w:val="en-US" w:eastAsia="zh-CN" w:bidi="ar"/>
              </w:rPr>
              <w:t>与</w:t>
            </w:r>
            <w:r>
              <w:rPr>
                <w:rFonts w:hint="default" w:ascii="Times New Roman" w:hAnsi="Times New Roman" w:eastAsia="宋体" w:cs="Times New Roman"/>
                <w:sz w:val="24"/>
                <w:szCs w:val="24"/>
              </w:rPr>
              <w:t>《承德市生态文明示范建设规划（2021-2025）》</w:t>
            </w:r>
            <w:r>
              <w:rPr>
                <w:rFonts w:hint="default" w:ascii="Times New Roman" w:hAnsi="Times New Roman" w:eastAsia="宋体" w:cs="Times New Roman"/>
                <w:b w:val="0"/>
                <w:bCs w:val="0"/>
                <w:color w:val="auto"/>
                <w:kern w:val="0"/>
                <w:sz w:val="24"/>
                <w:szCs w:val="24"/>
                <w:lang w:val="en-US" w:eastAsia="zh-CN" w:bidi="ar"/>
              </w:rPr>
              <w:t>的符合性分析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C00000"/>
                <w:sz w:val="24"/>
                <w:szCs w:val="24"/>
                <w:lang w:eastAsia="zh-CN"/>
              </w:rPr>
            </w:pPr>
            <w:r>
              <w:rPr>
                <w:rFonts w:hint="default" w:ascii="Times New Roman" w:hAnsi="Times New Roman" w:eastAsia="宋体" w:cs="Times New Roman"/>
                <w:sz w:val="24"/>
                <w:szCs w:val="24"/>
              </w:rPr>
              <w:t>根据《承德市生态文明示范建设规划（2021-2025）》：要改善生态环境质量，防范化解生态环境风险。具体包括：要加强一般工业固体废物的综合利用。完善工业固废综合利用方案，提升工业固废综合利用示范项目的影响力，打造工业固废综合、高效利用的产业模式。建设固体废物信息化管理系统，建立大宗工业固体废物产生、综合利用及推荐状况等数据信息收集渠道和公共信息平台，推进工业固体废物的资源化利用。全面规范工业固体废物的堆存场所，严防土壤、地下水污染。积极开展循环发展引领行动，加快工业绿色制造系统集成，推进生态设计示范。建设工业固体废物综合利用产业基地，大力推进多品种工业固体废物协同利用。到2025年，力争全市一般工业固体废物综合利用率达到50%，一般工业固体废物综合利用处置率达到100%。由于项目</w:t>
            </w:r>
            <w:r>
              <w:rPr>
                <w:rFonts w:hint="default" w:ascii="Times New Roman" w:hAnsi="Times New Roman" w:cs="Times New Roman"/>
                <w:color w:val="auto"/>
                <w:lang w:eastAsia="zh-CN"/>
              </w:rPr>
              <w:t>承平高速李家营路基弃渣</w:t>
            </w:r>
            <w:r>
              <w:rPr>
                <w:rFonts w:hint="default" w:ascii="Times New Roman" w:hAnsi="Times New Roman" w:eastAsia="宋体" w:cs="Times New Roman"/>
                <w:sz w:val="24"/>
                <w:szCs w:val="24"/>
              </w:rPr>
              <w:t>进行生产，实现了固体废物的综合利用，符合《承德市生态文明示范建设规划（2021-2025）》的相关要求。</w:t>
            </w:r>
          </w:p>
          <w:p>
            <w:pPr>
              <w:pStyle w:val="2"/>
              <w:rPr>
                <w:rFonts w:hint="default" w:ascii="Times New Roman" w:hAnsi="Times New Roman" w:cs="Times New Roman"/>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pPr>
          </w:p>
        </w:tc>
      </w:tr>
    </w:tbl>
    <w:p>
      <w:pPr>
        <w:rPr>
          <w:sz w:val="21"/>
        </w:rPr>
        <w:sectPr>
          <w:footerReference r:id="rId7" w:type="default"/>
          <w:pgSz w:w="11910" w:h="16840"/>
          <w:pgMar w:top="1417" w:right="1247" w:bottom="1417" w:left="1247" w:header="0" w:footer="1474" w:gutter="0"/>
          <w:pgNumType w:start="1"/>
          <w:cols w:space="720" w:num="1"/>
        </w:sectPr>
      </w:pPr>
    </w:p>
    <w:p>
      <w:pPr>
        <w:pStyle w:val="3"/>
        <w:spacing w:after="120"/>
      </w:pPr>
      <w:r>
        <w:rPr>
          <w:rFonts w:hint="eastAsia"/>
        </w:rPr>
        <w:t>二、建设项目工程分析</w:t>
      </w:r>
    </w:p>
    <w:tbl>
      <w:tblPr>
        <w:tblStyle w:val="15"/>
        <w:tblW w:w="0" w:type="auto"/>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631"/>
        <w:gridCol w:w="83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7" w:hRule="atLeast"/>
        </w:trPr>
        <w:tc>
          <w:tcPr>
            <w:tcW w:w="631" w:type="dxa"/>
            <w:tcBorders>
              <w:bottom w:val="single" w:color="000000" w:sz="4" w:space="0"/>
              <w:right w:val="single" w:color="000000" w:sz="4" w:space="0"/>
            </w:tcBorders>
            <w:vAlign w:val="center"/>
          </w:tcPr>
          <w:p>
            <w:r>
              <w:t>建</w:t>
            </w:r>
          </w:p>
          <w:p>
            <w:r>
              <w:t>设</w:t>
            </w:r>
          </w:p>
          <w:p>
            <w:r>
              <w:t>内</w:t>
            </w:r>
          </w:p>
          <w:p>
            <w:r>
              <w:t>容</w:t>
            </w:r>
          </w:p>
        </w:tc>
        <w:tc>
          <w:tcPr>
            <w:tcW w:w="8353" w:type="dxa"/>
            <w:tcBorders>
              <w:left w:val="single" w:color="000000" w:sz="4" w:space="0"/>
              <w:bottom w:val="single" w:color="000000" w:sz="4" w:space="0"/>
            </w:tcBorders>
          </w:tcPr>
          <w:p>
            <w:pPr>
              <w:pStyle w:val="5"/>
              <w:keepNext w:val="0"/>
              <w:keepLines w:val="0"/>
              <w:pageBreakBefore w:val="0"/>
              <w:widowControl w:val="0"/>
              <w:kinsoku/>
              <w:wordWrap/>
              <w:overflowPunct/>
              <w:topLinePunct w:val="0"/>
              <w:autoSpaceDE w:val="0"/>
              <w:autoSpaceDN w:val="0"/>
              <w:bidi w:val="0"/>
              <w:spacing w:line="500" w:lineRule="exact"/>
              <w:ind w:left="0" w:leftChars="0" w:firstLine="482" w:firstLineChars="200"/>
              <w:jc w:val="left"/>
              <w:textAlignment w:val="auto"/>
              <w:rPr>
                <w:rFonts w:hint="eastAsia" w:eastAsia="宋体"/>
                <w:b/>
                <w:bCs/>
                <w:spacing w:val="0"/>
                <w:lang w:val="en-US" w:eastAsia="zh-CN"/>
              </w:rPr>
            </w:pPr>
            <w:r>
              <w:rPr>
                <w:rFonts w:hint="eastAsia" w:eastAsia="宋体"/>
                <w:b/>
                <w:bCs/>
                <w:spacing w:val="0"/>
                <w:lang w:val="en-US"/>
              </w:rPr>
              <w:t>1、</w:t>
            </w:r>
            <w:r>
              <w:rPr>
                <w:rFonts w:hint="eastAsia" w:eastAsia="宋体"/>
                <w:b/>
                <w:bCs/>
                <w:spacing w:val="0"/>
                <w:lang w:val="en-US" w:eastAsia="zh-CN"/>
              </w:rPr>
              <w:t>建设内容及规模</w:t>
            </w:r>
          </w:p>
          <w:p>
            <w:pPr>
              <w:pStyle w:val="2"/>
              <w:keepNext w:val="0"/>
              <w:keepLines w:val="0"/>
              <w:pageBreakBefore w:val="0"/>
              <w:widowControl w:val="0"/>
              <w:kinsoku/>
              <w:wordWrap/>
              <w:overflowPunct/>
              <w:topLinePunct w:val="0"/>
              <w:autoSpaceDE w:val="0"/>
              <w:autoSpaceDN w:val="0"/>
              <w:bidi w:val="0"/>
              <w:spacing w:line="500" w:lineRule="exact"/>
              <w:ind w:left="0" w:leftChars="0" w:firstLine="480" w:firstLineChars="200"/>
              <w:textAlignment w:val="auto"/>
              <w:rPr>
                <w:color w:val="0000FF"/>
              </w:rPr>
            </w:pPr>
            <w:r>
              <w:rPr>
                <w:kern w:val="24"/>
                <w:sz w:val="24"/>
              </w:rPr>
              <w:t>项目主体工程为新建一条</w:t>
            </w:r>
            <w:r>
              <w:rPr>
                <w:rFonts w:hint="eastAsia"/>
                <w:kern w:val="24"/>
                <w:sz w:val="24"/>
                <w:lang w:eastAsia="zh-CN"/>
              </w:rPr>
              <w:t>砂</w:t>
            </w:r>
            <w:r>
              <w:rPr>
                <w:kern w:val="24"/>
                <w:sz w:val="24"/>
              </w:rPr>
              <w:t>石料加工生产线，新建主体工程主要包括</w:t>
            </w:r>
            <w:r>
              <w:rPr>
                <w:rFonts w:hint="eastAsia"/>
                <w:kern w:val="24"/>
                <w:sz w:val="24"/>
                <w:lang w:eastAsia="zh-CN"/>
              </w:rPr>
              <w:t>封闭式生产车间</w:t>
            </w:r>
            <w:r>
              <w:rPr>
                <w:kern w:val="24"/>
                <w:sz w:val="24"/>
              </w:rPr>
              <w:t>、</w:t>
            </w:r>
            <w:r>
              <w:rPr>
                <w:rFonts w:hint="eastAsia"/>
                <w:kern w:val="24"/>
                <w:sz w:val="24"/>
                <w:lang w:eastAsia="zh-CN"/>
              </w:rPr>
              <w:t>原料库</w:t>
            </w:r>
            <w:r>
              <w:rPr>
                <w:kern w:val="24"/>
                <w:sz w:val="24"/>
              </w:rPr>
              <w:t>及</w:t>
            </w:r>
            <w:r>
              <w:rPr>
                <w:rFonts w:hint="eastAsia"/>
                <w:kern w:val="24"/>
                <w:sz w:val="24"/>
                <w:lang w:eastAsia="zh-CN"/>
              </w:rPr>
              <w:t>成品库存车间</w:t>
            </w:r>
            <w:r>
              <w:rPr>
                <w:kern w:val="24"/>
                <w:sz w:val="24"/>
              </w:rPr>
              <w:t>等，</w:t>
            </w:r>
            <w:r>
              <w:rPr>
                <w:rFonts w:hint="eastAsia"/>
                <w:kern w:val="24"/>
                <w:sz w:val="24"/>
                <w:lang w:eastAsia="zh-CN"/>
              </w:rPr>
              <w:t>配套</w:t>
            </w:r>
            <w:r>
              <w:rPr>
                <w:kern w:val="24"/>
                <w:sz w:val="24"/>
              </w:rPr>
              <w:t>工程包括</w:t>
            </w:r>
            <w:r>
              <w:rPr>
                <w:rFonts w:hint="eastAsia"/>
                <w:kern w:val="24"/>
                <w:sz w:val="24"/>
                <w:lang w:eastAsia="zh-CN"/>
              </w:rPr>
              <w:t>办公生活区、危险废物贮存间</w:t>
            </w:r>
            <w:r>
              <w:rPr>
                <w:kern w:val="24"/>
                <w:sz w:val="24"/>
              </w:rPr>
              <w:t>、</w:t>
            </w:r>
            <w:r>
              <w:rPr>
                <w:rFonts w:hint="eastAsia"/>
                <w:lang w:eastAsia="zh-CN"/>
              </w:rPr>
              <w:t>洗车平台</w:t>
            </w:r>
            <w:r>
              <w:rPr>
                <w:kern w:val="24"/>
                <w:sz w:val="24"/>
              </w:rPr>
              <w:t>等，公用工程为供水、供电等设施。</w:t>
            </w:r>
            <w:r>
              <w:rPr>
                <w:rFonts w:hint="default" w:ascii="Times New Roman" w:hAnsi="Times New Roman" w:cs="Times New Roman"/>
                <w:color w:val="auto"/>
                <w:kern w:val="24"/>
                <w:sz w:val="24"/>
              </w:rPr>
              <w:t>年生产</w:t>
            </w:r>
            <w:r>
              <w:rPr>
                <w:rFonts w:hint="default" w:ascii="Times New Roman" w:hAnsi="Times New Roman" w:cs="Times New Roman"/>
                <w:color w:val="auto"/>
                <w:kern w:val="24"/>
                <w:sz w:val="24"/>
                <w:lang w:eastAsia="zh-CN"/>
              </w:rPr>
              <w:t>砂子、</w:t>
            </w:r>
            <w:r>
              <w:rPr>
                <w:rFonts w:hint="default" w:ascii="Times New Roman" w:hAnsi="Times New Roman" w:cs="Times New Roman"/>
                <w:color w:val="auto"/>
                <w:kern w:val="24"/>
                <w:sz w:val="24"/>
              </w:rPr>
              <w:t>石子</w:t>
            </w:r>
            <w:r>
              <w:rPr>
                <w:rFonts w:hint="eastAsia" w:cs="Times New Roman"/>
                <w:color w:val="auto"/>
                <w:kern w:val="24"/>
                <w:sz w:val="24"/>
                <w:lang w:val="en-US" w:eastAsia="zh-CN"/>
              </w:rPr>
              <w:t>80</w:t>
            </w:r>
            <w:r>
              <w:rPr>
                <w:rFonts w:hint="default" w:ascii="Times New Roman" w:hAnsi="Times New Roman" w:cs="Times New Roman"/>
                <w:color w:val="auto"/>
                <w:kern w:val="24"/>
                <w:sz w:val="24"/>
              </w:rPr>
              <w:t>万</w:t>
            </w:r>
            <w:r>
              <w:rPr>
                <w:rFonts w:hint="eastAsia"/>
                <w:color w:val="auto"/>
                <w:lang w:eastAsia="zh-CN"/>
              </w:rPr>
              <w:t>吨。</w:t>
            </w:r>
          </w:p>
          <w:p>
            <w:pPr>
              <w:keepNext w:val="0"/>
              <w:keepLines w:val="0"/>
              <w:pageBreakBefore w:val="0"/>
              <w:widowControl w:val="0"/>
              <w:kinsoku/>
              <w:wordWrap/>
              <w:overflowPunct/>
              <w:topLinePunct w:val="0"/>
              <w:autoSpaceDE w:val="0"/>
              <w:autoSpaceDN w:val="0"/>
              <w:bidi w:val="0"/>
              <w:spacing w:line="500" w:lineRule="exact"/>
              <w:textAlignment w:val="auto"/>
              <w:rPr>
                <w:b/>
                <w:bCs/>
                <w:color w:val="auto"/>
                <w:sz w:val="21"/>
                <w:szCs w:val="21"/>
                <w:lang w:val="en-US"/>
              </w:rPr>
            </w:pPr>
            <w:r>
              <w:rPr>
                <w:rFonts w:hint="eastAsia"/>
                <w:b/>
                <w:bCs/>
                <w:color w:val="auto"/>
                <w:sz w:val="21"/>
                <w:szCs w:val="21"/>
                <w:lang w:val="en-US"/>
              </w:rPr>
              <w:t>表2-</w:t>
            </w:r>
            <w:r>
              <w:rPr>
                <w:rFonts w:hint="eastAsia"/>
                <w:b/>
                <w:bCs/>
                <w:color w:val="auto"/>
                <w:sz w:val="21"/>
                <w:szCs w:val="21"/>
                <w:lang w:val="en-US" w:eastAsia="zh-CN"/>
              </w:rPr>
              <w:t>1</w:t>
            </w:r>
            <w:r>
              <w:rPr>
                <w:rFonts w:hint="eastAsia"/>
                <w:b/>
                <w:bCs/>
                <w:color w:val="auto"/>
                <w:sz w:val="21"/>
                <w:szCs w:val="21"/>
                <w:lang w:val="en-US"/>
              </w:rPr>
              <w:t>主要工程组成及建设内容表</w:t>
            </w:r>
          </w:p>
          <w:tbl>
            <w:tblPr>
              <w:tblStyle w:val="15"/>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755"/>
              <w:gridCol w:w="4265"/>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56" w:type="pct"/>
                  <w:tcBorders>
                    <w:tl2br w:val="nil"/>
                    <w:tr2bl w:val="nil"/>
                  </w:tcBorders>
                  <w:vAlign w:val="center"/>
                </w:tcPr>
                <w:p>
                  <w:pPr>
                    <w:autoSpaceDE/>
                    <w:autoSpaceDN/>
                    <w:adjustRightInd w:val="0"/>
                    <w:snapToGrid w:val="0"/>
                    <w:spacing w:line="240" w:lineRule="auto"/>
                    <w:rPr>
                      <w:rFonts w:cs="Times New Roman"/>
                      <w:b/>
                      <w:bCs/>
                      <w:color w:val="auto"/>
                      <w:sz w:val="21"/>
                      <w:szCs w:val="21"/>
                    </w:rPr>
                  </w:pPr>
                  <w:r>
                    <w:rPr>
                      <w:rFonts w:cs="Times New Roman"/>
                      <w:b/>
                      <w:bCs/>
                      <w:color w:val="auto"/>
                      <w:sz w:val="21"/>
                      <w:szCs w:val="21"/>
                    </w:rPr>
                    <w:t>工程名称</w:t>
                  </w:r>
                </w:p>
              </w:tc>
              <w:tc>
                <w:tcPr>
                  <w:tcW w:w="1063" w:type="pct"/>
                  <w:tcBorders>
                    <w:tl2br w:val="nil"/>
                    <w:tr2bl w:val="nil"/>
                  </w:tcBorders>
                  <w:vAlign w:val="center"/>
                </w:tcPr>
                <w:p>
                  <w:pPr>
                    <w:autoSpaceDE/>
                    <w:autoSpaceDN/>
                    <w:adjustRightInd w:val="0"/>
                    <w:snapToGrid w:val="0"/>
                    <w:spacing w:line="240" w:lineRule="auto"/>
                    <w:ind w:right="-120" w:rightChars="-50"/>
                    <w:rPr>
                      <w:rFonts w:cs="Times New Roman"/>
                      <w:b/>
                      <w:bCs/>
                      <w:color w:val="auto"/>
                      <w:sz w:val="21"/>
                      <w:szCs w:val="21"/>
                    </w:rPr>
                  </w:pPr>
                  <w:r>
                    <w:rPr>
                      <w:rFonts w:hint="eastAsia" w:cs="Times New Roman"/>
                      <w:b/>
                      <w:bCs/>
                      <w:color w:val="auto"/>
                      <w:sz w:val="21"/>
                      <w:szCs w:val="21"/>
                    </w:rPr>
                    <w:t>工程</w:t>
                  </w:r>
                  <w:r>
                    <w:rPr>
                      <w:rFonts w:cs="Times New Roman"/>
                      <w:b/>
                      <w:bCs/>
                      <w:color w:val="auto"/>
                      <w:sz w:val="21"/>
                      <w:szCs w:val="21"/>
                    </w:rPr>
                    <w:t>名称</w:t>
                  </w:r>
                </w:p>
              </w:tc>
              <w:tc>
                <w:tcPr>
                  <w:tcW w:w="2584" w:type="pct"/>
                  <w:tcBorders>
                    <w:tl2br w:val="nil"/>
                    <w:tr2bl w:val="nil"/>
                  </w:tcBorders>
                  <w:vAlign w:val="center"/>
                </w:tcPr>
                <w:p>
                  <w:pPr>
                    <w:autoSpaceDE/>
                    <w:autoSpaceDN/>
                    <w:adjustRightInd w:val="0"/>
                    <w:snapToGrid w:val="0"/>
                    <w:spacing w:line="240" w:lineRule="auto"/>
                    <w:ind w:right="-120" w:rightChars="-50"/>
                    <w:rPr>
                      <w:rFonts w:cs="Times New Roman"/>
                      <w:b/>
                      <w:bCs/>
                      <w:color w:val="auto"/>
                      <w:sz w:val="21"/>
                      <w:szCs w:val="21"/>
                    </w:rPr>
                  </w:pPr>
                  <w:r>
                    <w:rPr>
                      <w:rFonts w:hint="eastAsia" w:cs="Times New Roman"/>
                      <w:b/>
                      <w:bCs/>
                      <w:color w:val="auto"/>
                      <w:sz w:val="21"/>
                      <w:szCs w:val="21"/>
                    </w:rPr>
                    <w:t>主要建设内容</w:t>
                  </w:r>
                </w:p>
              </w:tc>
              <w:tc>
                <w:tcPr>
                  <w:tcW w:w="695" w:type="pct"/>
                  <w:tcBorders>
                    <w:tl2br w:val="nil"/>
                    <w:tr2bl w:val="nil"/>
                  </w:tcBorders>
                  <w:vAlign w:val="center"/>
                </w:tcPr>
                <w:p>
                  <w:pPr>
                    <w:autoSpaceDE/>
                    <w:autoSpaceDN/>
                    <w:adjustRightInd w:val="0"/>
                    <w:snapToGrid w:val="0"/>
                    <w:spacing w:line="240" w:lineRule="auto"/>
                    <w:ind w:right="-120" w:rightChars="-50"/>
                    <w:rPr>
                      <w:rFonts w:cs="Times New Roman"/>
                      <w:b/>
                      <w:bCs/>
                      <w:color w:val="auto"/>
                      <w:sz w:val="21"/>
                      <w:szCs w:val="21"/>
                    </w:rPr>
                  </w:pPr>
                  <w:r>
                    <w:rPr>
                      <w:rFonts w:hint="eastAsia"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56" w:type="pct"/>
                  <w:vMerge w:val="restart"/>
                  <w:tcBorders>
                    <w:tl2br w:val="nil"/>
                    <w:tr2bl w:val="nil"/>
                  </w:tcBorders>
                  <w:vAlign w:val="center"/>
                </w:tcPr>
                <w:p>
                  <w:pPr>
                    <w:autoSpaceDE/>
                    <w:autoSpaceDN/>
                    <w:adjustRightInd w:val="0"/>
                    <w:snapToGrid w:val="0"/>
                    <w:spacing w:line="240" w:lineRule="auto"/>
                    <w:rPr>
                      <w:rFonts w:cs="Times New Roman"/>
                      <w:color w:val="auto"/>
                      <w:sz w:val="21"/>
                      <w:szCs w:val="21"/>
                    </w:rPr>
                  </w:pPr>
                  <w:r>
                    <w:rPr>
                      <w:rFonts w:cs="Times New Roman"/>
                      <w:color w:val="auto"/>
                      <w:sz w:val="21"/>
                      <w:szCs w:val="21"/>
                    </w:rPr>
                    <w:t>主体工程</w:t>
                  </w:r>
                </w:p>
              </w:tc>
              <w:tc>
                <w:tcPr>
                  <w:tcW w:w="1063" w:type="pct"/>
                  <w:tcBorders>
                    <w:tl2br w:val="nil"/>
                    <w:tr2bl w:val="nil"/>
                  </w:tcBorders>
                  <w:vAlign w:val="center"/>
                </w:tcPr>
                <w:p>
                  <w:pPr>
                    <w:autoSpaceDE/>
                    <w:autoSpaceDN/>
                    <w:adjustRightInd w:val="0"/>
                    <w:snapToGrid w:val="0"/>
                    <w:spacing w:line="240" w:lineRule="auto"/>
                    <w:rPr>
                      <w:rFonts w:hint="eastAsia" w:eastAsia="宋体" w:cs="Times New Roman"/>
                      <w:color w:val="auto"/>
                      <w:sz w:val="21"/>
                      <w:szCs w:val="21"/>
                      <w:lang w:eastAsia="zh-CN"/>
                    </w:rPr>
                  </w:pPr>
                  <w:r>
                    <w:rPr>
                      <w:rFonts w:hint="eastAsia"/>
                      <w:color w:val="auto"/>
                      <w:kern w:val="24"/>
                      <w:sz w:val="21"/>
                      <w:szCs w:val="21"/>
                      <w:lang w:eastAsia="zh-CN"/>
                    </w:rPr>
                    <w:t>封闭式生产车间</w:t>
                  </w:r>
                </w:p>
              </w:tc>
              <w:tc>
                <w:tcPr>
                  <w:tcW w:w="2584" w:type="pct"/>
                  <w:tcBorders>
                    <w:tl2br w:val="nil"/>
                    <w:tr2bl w:val="nil"/>
                  </w:tcBorders>
                  <w:vAlign w:val="center"/>
                </w:tcPr>
                <w:p>
                  <w:pPr>
                    <w:autoSpaceDE/>
                    <w:autoSpaceDN/>
                    <w:spacing w:line="240" w:lineRule="auto"/>
                    <w:rPr>
                      <w:rFonts w:cs="Times New Roman"/>
                      <w:color w:val="auto"/>
                      <w:sz w:val="21"/>
                      <w:szCs w:val="21"/>
                      <w:lang w:val="en-US"/>
                    </w:rPr>
                  </w:pPr>
                  <w:r>
                    <w:rPr>
                      <w:rFonts w:hint="eastAsia" w:cs="Times New Roman"/>
                      <w:color w:val="auto"/>
                      <w:sz w:val="21"/>
                      <w:szCs w:val="21"/>
                      <w:lang w:eastAsia="zh-CN"/>
                    </w:rPr>
                    <w:t>占地面积</w:t>
                  </w:r>
                  <w:r>
                    <w:rPr>
                      <w:rFonts w:hint="eastAsia" w:cs="Times New Roman"/>
                      <w:color w:val="auto"/>
                      <w:sz w:val="21"/>
                      <w:szCs w:val="21"/>
                      <w:lang w:val="en-US" w:eastAsia="zh-CN"/>
                    </w:rPr>
                    <w:t>2000</w:t>
                  </w:r>
                  <w:r>
                    <w:rPr>
                      <w:rFonts w:cs="Times New Roman"/>
                      <w:color w:val="auto"/>
                      <w:sz w:val="21"/>
                      <w:szCs w:val="21"/>
                    </w:rPr>
                    <w:t>m</w:t>
                  </w:r>
                  <w:r>
                    <w:rPr>
                      <w:rFonts w:cs="Times New Roman"/>
                      <w:color w:val="auto"/>
                      <w:sz w:val="21"/>
                      <w:szCs w:val="21"/>
                      <w:vertAlign w:val="superscript"/>
                    </w:rPr>
                    <w:t>2</w:t>
                  </w:r>
                  <w:r>
                    <w:rPr>
                      <w:rFonts w:hint="eastAsia" w:cs="Times New Roman"/>
                      <w:color w:val="auto"/>
                      <w:sz w:val="21"/>
                      <w:szCs w:val="21"/>
                      <w:lang w:eastAsia="zh-CN"/>
                    </w:rPr>
                    <w:t>，</w:t>
                  </w:r>
                  <w:r>
                    <w:rPr>
                      <w:rFonts w:hint="eastAsia" w:cs="Times New Roman"/>
                      <w:color w:val="auto"/>
                      <w:sz w:val="21"/>
                      <w:szCs w:val="21"/>
                    </w:rPr>
                    <w:t>建筑面积</w:t>
                  </w:r>
                  <w:r>
                    <w:rPr>
                      <w:rFonts w:hint="eastAsia" w:cs="Times New Roman"/>
                      <w:color w:val="auto"/>
                      <w:sz w:val="21"/>
                      <w:szCs w:val="21"/>
                      <w:lang w:val="en-US" w:eastAsia="zh-CN"/>
                    </w:rPr>
                    <w:t>2000</w:t>
                  </w:r>
                  <w:r>
                    <w:rPr>
                      <w:rFonts w:cs="Times New Roman"/>
                      <w:color w:val="auto"/>
                      <w:sz w:val="21"/>
                      <w:szCs w:val="21"/>
                    </w:rPr>
                    <w:t>m</w:t>
                  </w:r>
                  <w:r>
                    <w:rPr>
                      <w:rFonts w:cs="Times New Roman"/>
                      <w:color w:val="auto"/>
                      <w:sz w:val="21"/>
                      <w:szCs w:val="21"/>
                      <w:vertAlign w:val="superscript"/>
                    </w:rPr>
                    <w:t>2</w:t>
                  </w:r>
                  <w:r>
                    <w:rPr>
                      <w:rFonts w:cs="Times New Roman"/>
                      <w:color w:val="auto"/>
                      <w:sz w:val="21"/>
                      <w:szCs w:val="21"/>
                    </w:rPr>
                    <w:t>，</w:t>
                  </w:r>
                  <w:r>
                    <w:rPr>
                      <w:rFonts w:hint="eastAsia" w:cs="Times New Roman"/>
                      <w:color w:val="auto"/>
                      <w:sz w:val="21"/>
                      <w:szCs w:val="21"/>
                      <w:lang w:val="en-US"/>
                    </w:rPr>
                    <w:t>内置</w:t>
                  </w:r>
                  <w:r>
                    <w:rPr>
                      <w:rFonts w:hint="eastAsia" w:cs="Times New Roman"/>
                      <w:color w:val="auto"/>
                      <w:sz w:val="21"/>
                      <w:szCs w:val="21"/>
                      <w:lang w:val="en-US" w:eastAsia="zh-CN"/>
                    </w:rPr>
                    <w:t>破碎机</w:t>
                  </w:r>
                  <w:r>
                    <w:rPr>
                      <w:rFonts w:hint="eastAsia" w:cs="Times New Roman"/>
                      <w:color w:val="auto"/>
                      <w:sz w:val="21"/>
                      <w:szCs w:val="21"/>
                      <w:lang w:val="en-US"/>
                    </w:rPr>
                    <w:t>、</w:t>
                  </w:r>
                  <w:r>
                    <w:rPr>
                      <w:rFonts w:hint="eastAsia" w:cs="Times New Roman"/>
                      <w:color w:val="auto"/>
                      <w:sz w:val="21"/>
                      <w:szCs w:val="21"/>
                      <w:lang w:val="en-US" w:eastAsia="zh-CN"/>
                    </w:rPr>
                    <w:t>筛分机</w:t>
                  </w:r>
                  <w:r>
                    <w:rPr>
                      <w:rFonts w:hint="eastAsia" w:ascii="宋体" w:hAnsi="宋体" w:cs="宋体"/>
                      <w:color w:val="auto"/>
                      <w:sz w:val="21"/>
                      <w:szCs w:val="21"/>
                      <w:highlight w:val="none"/>
                      <w:lang w:val="en-US" w:eastAsia="zh-CN"/>
                    </w:rPr>
                    <w:t>、运输皮带</w:t>
                  </w:r>
                  <w:r>
                    <w:rPr>
                      <w:rFonts w:hint="eastAsia" w:cs="Times New Roman"/>
                      <w:color w:val="auto"/>
                      <w:sz w:val="21"/>
                      <w:szCs w:val="21"/>
                      <w:lang w:val="en-US"/>
                    </w:rPr>
                    <w:t>等</w:t>
                  </w:r>
                </w:p>
              </w:tc>
              <w:tc>
                <w:tcPr>
                  <w:tcW w:w="695" w:type="pct"/>
                  <w:tcBorders>
                    <w:tl2br w:val="nil"/>
                    <w:tr2bl w:val="nil"/>
                  </w:tcBorders>
                  <w:vAlign w:val="center"/>
                </w:tcPr>
                <w:p>
                  <w:pPr>
                    <w:autoSpaceDE/>
                    <w:autoSpaceDN/>
                    <w:spacing w:line="240" w:lineRule="auto"/>
                    <w:rPr>
                      <w:rFonts w:hint="eastAsia" w:eastAsia="宋体" w:cs="Times New Roman"/>
                      <w:color w:val="auto"/>
                      <w:sz w:val="21"/>
                      <w:szCs w:val="21"/>
                      <w:lang w:eastAsia="zh-CN"/>
                    </w:rPr>
                  </w:pPr>
                  <w:r>
                    <w:rPr>
                      <w:rFonts w:hint="eastAsia" w:cs="Times New Roman"/>
                      <w:sz w:val="21"/>
                      <w:szCs w:val="21"/>
                      <w:lang w:eastAsia="zh-CN"/>
                    </w:rPr>
                    <w:t>已</w:t>
                  </w:r>
                  <w:r>
                    <w:rPr>
                      <w:rFonts w:hint="eastAsia" w:cs="Times New Roman"/>
                      <w:sz w:val="21"/>
                      <w:szCs w:val="21"/>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56" w:type="pct"/>
                  <w:vMerge w:val="continue"/>
                  <w:tcBorders>
                    <w:tl2br w:val="nil"/>
                    <w:tr2bl w:val="nil"/>
                  </w:tcBorders>
                  <w:vAlign w:val="center"/>
                </w:tcPr>
                <w:p>
                  <w:pPr>
                    <w:autoSpaceDE/>
                    <w:autoSpaceDN/>
                    <w:adjustRightInd w:val="0"/>
                    <w:snapToGrid w:val="0"/>
                    <w:spacing w:line="240" w:lineRule="auto"/>
                    <w:rPr>
                      <w:rFonts w:cs="Times New Roman"/>
                      <w:color w:val="auto"/>
                      <w:sz w:val="21"/>
                      <w:szCs w:val="21"/>
                    </w:rPr>
                  </w:pPr>
                </w:p>
              </w:tc>
              <w:tc>
                <w:tcPr>
                  <w:tcW w:w="1063" w:type="pct"/>
                  <w:tcBorders>
                    <w:tl2br w:val="nil"/>
                    <w:tr2bl w:val="nil"/>
                  </w:tcBorders>
                  <w:vAlign w:val="center"/>
                </w:tcPr>
                <w:p>
                  <w:pPr>
                    <w:autoSpaceDE/>
                    <w:autoSpaceDN/>
                    <w:adjustRightInd w:val="0"/>
                    <w:snapToGrid w:val="0"/>
                    <w:spacing w:line="240" w:lineRule="auto"/>
                    <w:rPr>
                      <w:rFonts w:hint="eastAsia" w:eastAsia="宋体" w:cs="Times New Roman"/>
                      <w:color w:val="auto"/>
                      <w:sz w:val="21"/>
                      <w:szCs w:val="21"/>
                      <w:lang w:eastAsia="zh-CN"/>
                    </w:rPr>
                  </w:pPr>
                  <w:r>
                    <w:rPr>
                      <w:rFonts w:hint="eastAsia"/>
                      <w:color w:val="auto"/>
                      <w:kern w:val="24"/>
                      <w:sz w:val="21"/>
                      <w:szCs w:val="21"/>
                      <w:lang w:eastAsia="zh-CN"/>
                    </w:rPr>
                    <w:t>原料库</w:t>
                  </w:r>
                </w:p>
              </w:tc>
              <w:tc>
                <w:tcPr>
                  <w:tcW w:w="2584" w:type="pct"/>
                  <w:tcBorders>
                    <w:tl2br w:val="nil"/>
                    <w:tr2bl w:val="nil"/>
                  </w:tcBorders>
                  <w:vAlign w:val="center"/>
                </w:tcPr>
                <w:p>
                  <w:pPr>
                    <w:autoSpaceDE/>
                    <w:autoSpaceDN/>
                    <w:spacing w:line="240" w:lineRule="auto"/>
                    <w:rPr>
                      <w:rFonts w:hint="eastAsia" w:eastAsia="宋体" w:cs="Times New Roman"/>
                      <w:color w:val="auto"/>
                      <w:sz w:val="21"/>
                      <w:szCs w:val="21"/>
                      <w:lang w:eastAsia="zh-CN"/>
                    </w:rPr>
                  </w:pPr>
                  <w:r>
                    <w:rPr>
                      <w:rFonts w:hint="eastAsia" w:cs="Times New Roman"/>
                      <w:color w:val="auto"/>
                      <w:sz w:val="21"/>
                      <w:szCs w:val="21"/>
                      <w:lang w:eastAsia="zh-CN"/>
                    </w:rPr>
                    <w:t>占地面积</w:t>
                  </w:r>
                  <w:r>
                    <w:rPr>
                      <w:rFonts w:hint="eastAsia" w:cs="Times New Roman"/>
                      <w:color w:val="auto"/>
                      <w:sz w:val="21"/>
                      <w:szCs w:val="21"/>
                      <w:lang w:val="en-US" w:eastAsia="zh-CN"/>
                    </w:rPr>
                    <w:t>2500</w:t>
                  </w:r>
                  <w:r>
                    <w:rPr>
                      <w:rFonts w:cs="Times New Roman"/>
                      <w:color w:val="auto"/>
                      <w:sz w:val="21"/>
                      <w:szCs w:val="21"/>
                    </w:rPr>
                    <w:t>m</w:t>
                  </w:r>
                  <w:r>
                    <w:rPr>
                      <w:rFonts w:cs="Times New Roman"/>
                      <w:color w:val="auto"/>
                      <w:sz w:val="21"/>
                      <w:szCs w:val="21"/>
                      <w:vertAlign w:val="superscript"/>
                    </w:rPr>
                    <w:t>2</w:t>
                  </w:r>
                  <w:r>
                    <w:rPr>
                      <w:rFonts w:hint="eastAsia" w:cs="Times New Roman"/>
                      <w:color w:val="auto"/>
                      <w:sz w:val="21"/>
                      <w:szCs w:val="21"/>
                      <w:lang w:eastAsia="zh-CN"/>
                    </w:rPr>
                    <w:t>，</w:t>
                  </w:r>
                  <w:r>
                    <w:rPr>
                      <w:rFonts w:hint="eastAsia" w:cs="Times New Roman"/>
                      <w:color w:val="auto"/>
                      <w:sz w:val="21"/>
                      <w:szCs w:val="21"/>
                    </w:rPr>
                    <w:t>建筑面积</w:t>
                  </w:r>
                  <w:r>
                    <w:rPr>
                      <w:rFonts w:hint="eastAsia" w:cs="Times New Roman"/>
                      <w:color w:val="auto"/>
                      <w:sz w:val="21"/>
                      <w:szCs w:val="21"/>
                      <w:lang w:val="en-US" w:eastAsia="zh-CN"/>
                    </w:rPr>
                    <w:t>2500</w:t>
                  </w:r>
                  <w:r>
                    <w:rPr>
                      <w:rFonts w:cs="Times New Roman"/>
                      <w:color w:val="auto"/>
                      <w:sz w:val="21"/>
                      <w:szCs w:val="21"/>
                    </w:rPr>
                    <w:t>m</w:t>
                  </w:r>
                  <w:r>
                    <w:rPr>
                      <w:rFonts w:cs="Times New Roman"/>
                      <w:color w:val="auto"/>
                      <w:sz w:val="21"/>
                      <w:szCs w:val="21"/>
                      <w:vertAlign w:val="superscript"/>
                    </w:rPr>
                    <w:t>2</w:t>
                  </w:r>
                  <w:r>
                    <w:rPr>
                      <w:rFonts w:hint="eastAsia"/>
                      <w:color w:val="auto"/>
                      <w:sz w:val="21"/>
                      <w:szCs w:val="21"/>
                      <w:lang w:eastAsia="zh-CN"/>
                    </w:rPr>
                    <w:t>，用于储存原料</w:t>
                  </w:r>
                </w:p>
              </w:tc>
              <w:tc>
                <w:tcPr>
                  <w:tcW w:w="695" w:type="pct"/>
                  <w:tcBorders>
                    <w:tl2br w:val="nil"/>
                    <w:tr2bl w:val="nil"/>
                  </w:tcBorders>
                  <w:vAlign w:val="center"/>
                </w:tcPr>
                <w:p>
                  <w:pPr>
                    <w:autoSpaceDE/>
                    <w:autoSpaceDN/>
                    <w:spacing w:line="240" w:lineRule="auto"/>
                    <w:rPr>
                      <w:rFonts w:hint="eastAsia" w:cs="Times New Roman"/>
                      <w:color w:val="auto"/>
                      <w:sz w:val="21"/>
                      <w:szCs w:val="21"/>
                    </w:rPr>
                  </w:pPr>
                  <w:r>
                    <w:rPr>
                      <w:rFonts w:hint="eastAsia"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56" w:type="pct"/>
                  <w:vMerge w:val="continue"/>
                  <w:tcBorders>
                    <w:tl2br w:val="nil"/>
                    <w:tr2bl w:val="nil"/>
                  </w:tcBorders>
                  <w:vAlign w:val="center"/>
                </w:tcPr>
                <w:p>
                  <w:pPr>
                    <w:autoSpaceDE/>
                    <w:autoSpaceDN/>
                    <w:adjustRightInd w:val="0"/>
                    <w:snapToGrid w:val="0"/>
                    <w:spacing w:line="240" w:lineRule="auto"/>
                    <w:rPr>
                      <w:rFonts w:cs="Times New Roman"/>
                      <w:color w:val="auto"/>
                      <w:sz w:val="21"/>
                      <w:szCs w:val="21"/>
                    </w:rPr>
                  </w:pPr>
                </w:p>
              </w:tc>
              <w:tc>
                <w:tcPr>
                  <w:tcW w:w="1063" w:type="pct"/>
                  <w:tcBorders>
                    <w:tl2br w:val="nil"/>
                    <w:tr2bl w:val="nil"/>
                  </w:tcBorders>
                  <w:vAlign w:val="center"/>
                </w:tcPr>
                <w:p>
                  <w:pPr>
                    <w:autoSpaceDE/>
                    <w:autoSpaceDN/>
                    <w:adjustRightInd w:val="0"/>
                    <w:snapToGrid w:val="0"/>
                    <w:spacing w:line="240" w:lineRule="auto"/>
                    <w:rPr>
                      <w:rFonts w:hint="eastAsia" w:eastAsia="宋体" w:cs="Times New Roman"/>
                      <w:color w:val="auto"/>
                      <w:sz w:val="21"/>
                      <w:szCs w:val="21"/>
                      <w:lang w:eastAsia="zh-CN"/>
                    </w:rPr>
                  </w:pPr>
                  <w:r>
                    <w:rPr>
                      <w:rFonts w:hint="eastAsia"/>
                      <w:color w:val="auto"/>
                      <w:kern w:val="24"/>
                      <w:sz w:val="21"/>
                      <w:szCs w:val="21"/>
                      <w:lang w:eastAsia="zh-CN"/>
                    </w:rPr>
                    <w:t>成品库存车间</w:t>
                  </w:r>
                </w:p>
              </w:tc>
              <w:tc>
                <w:tcPr>
                  <w:tcW w:w="2584" w:type="pct"/>
                  <w:tcBorders>
                    <w:tl2br w:val="nil"/>
                    <w:tr2bl w:val="nil"/>
                  </w:tcBorders>
                  <w:vAlign w:val="center"/>
                </w:tcPr>
                <w:p>
                  <w:pPr>
                    <w:autoSpaceDE/>
                    <w:autoSpaceDN/>
                    <w:spacing w:line="240" w:lineRule="auto"/>
                    <w:rPr>
                      <w:rFonts w:hint="eastAsia" w:cs="Times New Roman"/>
                      <w:color w:val="auto"/>
                      <w:sz w:val="21"/>
                      <w:szCs w:val="21"/>
                    </w:rPr>
                  </w:pPr>
                  <w:r>
                    <w:rPr>
                      <w:rFonts w:hint="eastAsia" w:cs="Times New Roman"/>
                      <w:color w:val="auto"/>
                      <w:sz w:val="21"/>
                      <w:szCs w:val="21"/>
                      <w:lang w:eastAsia="zh-CN"/>
                    </w:rPr>
                    <w:t>占地面积</w:t>
                  </w:r>
                  <w:r>
                    <w:rPr>
                      <w:rFonts w:hint="eastAsia" w:cs="Times New Roman"/>
                      <w:color w:val="auto"/>
                      <w:sz w:val="21"/>
                      <w:szCs w:val="21"/>
                      <w:lang w:val="en-US" w:eastAsia="zh-CN"/>
                    </w:rPr>
                    <w:t>3000</w:t>
                  </w:r>
                  <w:r>
                    <w:rPr>
                      <w:rFonts w:cs="Times New Roman"/>
                      <w:color w:val="auto"/>
                      <w:sz w:val="21"/>
                      <w:szCs w:val="21"/>
                    </w:rPr>
                    <w:t>m</w:t>
                  </w:r>
                  <w:r>
                    <w:rPr>
                      <w:rFonts w:cs="Times New Roman"/>
                      <w:color w:val="auto"/>
                      <w:sz w:val="21"/>
                      <w:szCs w:val="21"/>
                      <w:vertAlign w:val="superscript"/>
                    </w:rPr>
                    <w:t>2</w:t>
                  </w:r>
                  <w:r>
                    <w:rPr>
                      <w:rFonts w:hint="eastAsia" w:cs="Times New Roman"/>
                      <w:color w:val="auto"/>
                      <w:sz w:val="21"/>
                      <w:szCs w:val="21"/>
                      <w:lang w:eastAsia="zh-CN"/>
                    </w:rPr>
                    <w:t>，</w:t>
                  </w:r>
                  <w:r>
                    <w:rPr>
                      <w:rFonts w:hint="eastAsia" w:cs="Times New Roman"/>
                      <w:color w:val="auto"/>
                      <w:sz w:val="21"/>
                      <w:szCs w:val="21"/>
                    </w:rPr>
                    <w:t>建筑面积</w:t>
                  </w:r>
                  <w:r>
                    <w:rPr>
                      <w:rFonts w:hint="eastAsia" w:cs="Times New Roman"/>
                      <w:color w:val="auto"/>
                      <w:sz w:val="21"/>
                      <w:szCs w:val="21"/>
                      <w:lang w:val="en-US" w:eastAsia="zh-CN"/>
                    </w:rPr>
                    <w:t>3000</w:t>
                  </w:r>
                  <w:r>
                    <w:rPr>
                      <w:rFonts w:cs="Times New Roman"/>
                      <w:color w:val="auto"/>
                      <w:sz w:val="21"/>
                      <w:szCs w:val="21"/>
                    </w:rPr>
                    <w:t>m</w:t>
                  </w:r>
                  <w:r>
                    <w:rPr>
                      <w:rFonts w:cs="Times New Roman"/>
                      <w:color w:val="auto"/>
                      <w:sz w:val="21"/>
                      <w:szCs w:val="21"/>
                      <w:vertAlign w:val="superscript"/>
                    </w:rPr>
                    <w:t>2</w:t>
                  </w:r>
                  <w:r>
                    <w:rPr>
                      <w:rFonts w:hint="eastAsia"/>
                      <w:color w:val="auto"/>
                      <w:sz w:val="21"/>
                      <w:szCs w:val="21"/>
                      <w:lang w:eastAsia="zh-CN"/>
                    </w:rPr>
                    <w:t>，用于储存成品</w:t>
                  </w:r>
                </w:p>
              </w:tc>
              <w:tc>
                <w:tcPr>
                  <w:tcW w:w="695" w:type="pct"/>
                  <w:tcBorders>
                    <w:tl2br w:val="nil"/>
                    <w:tr2bl w:val="nil"/>
                  </w:tcBorders>
                  <w:vAlign w:val="center"/>
                </w:tcPr>
                <w:p>
                  <w:pPr>
                    <w:autoSpaceDE/>
                    <w:autoSpaceDN/>
                    <w:spacing w:line="240" w:lineRule="auto"/>
                    <w:rPr>
                      <w:rFonts w:hint="eastAsia" w:eastAsia="宋体" w:cs="Times New Roman"/>
                      <w:color w:val="auto"/>
                      <w:sz w:val="21"/>
                      <w:szCs w:val="21"/>
                      <w:lang w:eastAsia="zh-CN"/>
                    </w:rPr>
                  </w:pPr>
                  <w:r>
                    <w:rPr>
                      <w:rFonts w:hint="eastAsia"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pct"/>
                  <w:vMerge w:val="restart"/>
                  <w:tcBorders>
                    <w:tl2br w:val="nil"/>
                    <w:tr2bl w:val="nil"/>
                  </w:tcBorders>
                  <w:vAlign w:val="center"/>
                </w:tcPr>
                <w:p>
                  <w:pPr>
                    <w:autoSpaceDE/>
                    <w:autoSpaceDN/>
                    <w:adjustRightInd w:val="0"/>
                    <w:snapToGrid w:val="0"/>
                    <w:spacing w:line="240" w:lineRule="auto"/>
                    <w:rPr>
                      <w:rFonts w:cs="Times New Roman"/>
                      <w:color w:val="auto"/>
                      <w:sz w:val="21"/>
                      <w:szCs w:val="21"/>
                    </w:rPr>
                  </w:pPr>
                  <w:r>
                    <w:rPr>
                      <w:rFonts w:hint="eastAsia" w:cs="Times New Roman"/>
                      <w:color w:val="auto"/>
                      <w:sz w:val="21"/>
                      <w:szCs w:val="21"/>
                    </w:rPr>
                    <w:t>配套工程</w:t>
                  </w:r>
                </w:p>
              </w:tc>
              <w:tc>
                <w:tcPr>
                  <w:tcW w:w="1063" w:type="pct"/>
                  <w:tcBorders>
                    <w:tl2br w:val="nil"/>
                    <w:tr2bl w:val="nil"/>
                  </w:tcBorders>
                  <w:vAlign w:val="center"/>
                </w:tcPr>
                <w:p>
                  <w:pPr>
                    <w:autoSpaceDE/>
                    <w:autoSpaceDN/>
                    <w:adjustRightInd w:val="0"/>
                    <w:snapToGrid w:val="0"/>
                    <w:spacing w:line="240" w:lineRule="auto"/>
                    <w:rPr>
                      <w:rFonts w:hint="eastAsia" w:eastAsia="宋体" w:cs="Times New Roman"/>
                      <w:color w:val="auto"/>
                      <w:sz w:val="21"/>
                      <w:szCs w:val="21"/>
                      <w:lang w:eastAsia="zh-CN"/>
                    </w:rPr>
                  </w:pPr>
                  <w:r>
                    <w:rPr>
                      <w:rFonts w:hint="eastAsia" w:cs="Times New Roman"/>
                      <w:color w:val="auto"/>
                      <w:sz w:val="21"/>
                      <w:szCs w:val="21"/>
                      <w:lang w:eastAsia="zh-CN"/>
                    </w:rPr>
                    <w:t>办公生活区</w:t>
                  </w:r>
                </w:p>
              </w:tc>
              <w:tc>
                <w:tcPr>
                  <w:tcW w:w="2584" w:type="pct"/>
                  <w:tcBorders>
                    <w:tl2br w:val="nil"/>
                    <w:tr2bl w:val="nil"/>
                  </w:tcBorders>
                  <w:vAlign w:val="center"/>
                </w:tcPr>
                <w:p>
                  <w:pPr>
                    <w:autoSpaceDE/>
                    <w:autoSpaceDN/>
                    <w:spacing w:line="240" w:lineRule="auto"/>
                    <w:rPr>
                      <w:rFonts w:cs="Times New Roman"/>
                      <w:color w:val="auto"/>
                      <w:sz w:val="21"/>
                      <w:szCs w:val="21"/>
                    </w:rPr>
                  </w:pPr>
                  <w:r>
                    <w:rPr>
                      <w:rFonts w:hint="default" w:ascii="Times New Roman" w:hAnsi="Times New Roman" w:eastAsia="宋体" w:cs="Times New Roman"/>
                      <w:color w:val="auto"/>
                      <w:sz w:val="21"/>
                      <w:szCs w:val="21"/>
                      <w:lang w:eastAsia="zh-CN"/>
                    </w:rPr>
                    <w:t>主要用于</w:t>
                  </w:r>
                  <w:r>
                    <w:rPr>
                      <w:rFonts w:hint="default" w:ascii="Times New Roman" w:hAnsi="Times New Roman" w:eastAsia="宋体" w:cs="Times New Roman"/>
                      <w:color w:val="auto"/>
                      <w:sz w:val="21"/>
                      <w:szCs w:val="21"/>
                    </w:rPr>
                    <w:t>员工办公休息。建筑面积共计</w:t>
                  </w:r>
                  <w:r>
                    <w:rPr>
                      <w:rFonts w:hint="eastAsia" w:cs="Times New Roman"/>
                      <w:color w:val="auto"/>
                      <w:sz w:val="21"/>
                      <w:szCs w:val="21"/>
                      <w:lang w:val="en-US" w:eastAsia="zh-CN"/>
                    </w:rPr>
                    <w:t>980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695" w:type="pct"/>
                  <w:tcBorders>
                    <w:tl2br w:val="nil"/>
                    <w:tr2bl w:val="nil"/>
                  </w:tcBorders>
                  <w:vAlign w:val="center"/>
                </w:tcPr>
                <w:p>
                  <w:pPr>
                    <w:autoSpaceDE/>
                    <w:autoSpaceDN/>
                    <w:spacing w:line="240" w:lineRule="auto"/>
                    <w:rPr>
                      <w:rFonts w:cs="Times New Roman"/>
                      <w:color w:val="auto"/>
                      <w:sz w:val="21"/>
                      <w:szCs w:val="21"/>
                    </w:rPr>
                  </w:pPr>
                  <w:r>
                    <w:rPr>
                      <w:rFonts w:hint="eastAsia"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pct"/>
                  <w:vMerge w:val="continue"/>
                  <w:tcBorders>
                    <w:tl2br w:val="nil"/>
                    <w:tr2bl w:val="nil"/>
                  </w:tcBorders>
                  <w:vAlign w:val="center"/>
                </w:tcPr>
                <w:p>
                  <w:pPr>
                    <w:autoSpaceDE/>
                    <w:autoSpaceDN/>
                    <w:adjustRightInd w:val="0"/>
                    <w:snapToGrid w:val="0"/>
                    <w:spacing w:line="240" w:lineRule="auto"/>
                    <w:rPr>
                      <w:rFonts w:hint="eastAsia" w:cs="Times New Roman"/>
                      <w:color w:val="auto"/>
                      <w:sz w:val="21"/>
                      <w:szCs w:val="21"/>
                    </w:rPr>
                  </w:pPr>
                </w:p>
              </w:tc>
              <w:tc>
                <w:tcPr>
                  <w:tcW w:w="1063" w:type="pct"/>
                  <w:tcBorders>
                    <w:tl2br w:val="nil"/>
                    <w:tr2bl w:val="nil"/>
                  </w:tcBorders>
                  <w:vAlign w:val="center"/>
                </w:tcPr>
                <w:p>
                  <w:pPr>
                    <w:autoSpaceDE/>
                    <w:autoSpaceDN/>
                    <w:adjustRightInd w:val="0"/>
                    <w:snapToGrid w:val="0"/>
                    <w:spacing w:line="240" w:lineRule="auto"/>
                    <w:rPr>
                      <w:rFonts w:hint="eastAsia" w:eastAsia="宋体" w:cs="Times New Roman"/>
                      <w:color w:val="auto"/>
                      <w:sz w:val="21"/>
                      <w:szCs w:val="21"/>
                      <w:lang w:eastAsia="zh-CN"/>
                    </w:rPr>
                  </w:pPr>
                  <w:r>
                    <w:rPr>
                      <w:rFonts w:hint="eastAsia" w:cs="Times New Roman"/>
                      <w:color w:val="auto"/>
                      <w:sz w:val="21"/>
                      <w:szCs w:val="21"/>
                      <w:lang w:eastAsia="zh-CN"/>
                    </w:rPr>
                    <w:t>危险废物贮存间</w:t>
                  </w:r>
                </w:p>
              </w:tc>
              <w:tc>
                <w:tcPr>
                  <w:tcW w:w="2584" w:type="pct"/>
                  <w:tcBorders>
                    <w:tl2br w:val="nil"/>
                    <w:tr2bl w:val="nil"/>
                  </w:tcBorders>
                  <w:vAlign w:val="center"/>
                </w:tcPr>
                <w:p>
                  <w:pPr>
                    <w:autoSpaceDE/>
                    <w:autoSpaceDN/>
                    <w:spacing w:line="240" w:lineRule="auto"/>
                    <w:rPr>
                      <w:rFonts w:hint="eastAsia" w:cs="Times New Roman"/>
                      <w:color w:val="auto"/>
                      <w:sz w:val="21"/>
                      <w:szCs w:val="21"/>
                    </w:rPr>
                  </w:pPr>
                  <w:r>
                    <w:rPr>
                      <w:rFonts w:hint="default" w:ascii="Times New Roman" w:hAnsi="Times New Roman" w:eastAsia="宋体" w:cs="Times New Roman"/>
                      <w:color w:val="auto"/>
                      <w:sz w:val="21"/>
                      <w:szCs w:val="21"/>
                    </w:rPr>
                    <w:t>位于</w:t>
                  </w:r>
                  <w:r>
                    <w:rPr>
                      <w:rFonts w:hint="default" w:ascii="Times New Roman" w:hAnsi="Times New Roman" w:eastAsia="宋体" w:cs="Times New Roman"/>
                      <w:color w:val="auto"/>
                      <w:sz w:val="21"/>
                      <w:szCs w:val="21"/>
                      <w:lang w:eastAsia="zh-CN"/>
                    </w:rPr>
                    <w:t>厂区</w:t>
                  </w:r>
                  <w:r>
                    <w:rPr>
                      <w:rFonts w:hint="eastAsia" w:cs="Times New Roman"/>
                      <w:color w:val="auto"/>
                      <w:sz w:val="21"/>
                      <w:szCs w:val="21"/>
                      <w:lang w:eastAsia="zh-CN"/>
                    </w:rPr>
                    <w:t>西南</w:t>
                  </w:r>
                  <w:r>
                    <w:rPr>
                      <w:rFonts w:hint="default" w:ascii="Times New Roman" w:hAnsi="Times New Roman" w:eastAsia="宋体" w:cs="Times New Roman"/>
                      <w:color w:val="auto"/>
                      <w:sz w:val="21"/>
                      <w:szCs w:val="21"/>
                    </w:rPr>
                    <w:t>侧，主要用于临时贮存生产过程中产生的危废，建筑面积</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尺寸：</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2.4m</w:t>
                  </w:r>
                </w:p>
              </w:tc>
              <w:tc>
                <w:tcPr>
                  <w:tcW w:w="695" w:type="pct"/>
                  <w:tcBorders>
                    <w:tl2br w:val="nil"/>
                    <w:tr2bl w:val="nil"/>
                  </w:tcBorders>
                  <w:vAlign w:val="center"/>
                </w:tcPr>
                <w:p>
                  <w:pPr>
                    <w:autoSpaceDE/>
                    <w:autoSpaceDN/>
                    <w:spacing w:line="240" w:lineRule="auto"/>
                    <w:rPr>
                      <w:rFonts w:hint="eastAsia" w:cs="Times New Roman"/>
                      <w:color w:val="auto"/>
                      <w:sz w:val="21"/>
                      <w:szCs w:val="21"/>
                    </w:rPr>
                  </w:pPr>
                  <w:r>
                    <w:rPr>
                      <w:rFonts w:hint="eastAsia"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pct"/>
                  <w:vMerge w:val="continue"/>
                  <w:tcBorders>
                    <w:tl2br w:val="nil"/>
                    <w:tr2bl w:val="nil"/>
                  </w:tcBorders>
                  <w:vAlign w:val="center"/>
                </w:tcPr>
                <w:p>
                  <w:pPr>
                    <w:autoSpaceDE/>
                    <w:autoSpaceDN/>
                    <w:adjustRightInd w:val="0"/>
                    <w:snapToGrid w:val="0"/>
                    <w:spacing w:line="240" w:lineRule="auto"/>
                    <w:rPr>
                      <w:rFonts w:hint="eastAsia" w:cs="Times New Roman"/>
                      <w:color w:val="auto"/>
                      <w:sz w:val="21"/>
                      <w:szCs w:val="21"/>
                    </w:rPr>
                  </w:pPr>
                </w:p>
              </w:tc>
              <w:tc>
                <w:tcPr>
                  <w:tcW w:w="1063" w:type="pct"/>
                  <w:tcBorders>
                    <w:tl2br w:val="nil"/>
                    <w:tr2bl w:val="nil"/>
                  </w:tcBorders>
                  <w:vAlign w:val="center"/>
                </w:tcPr>
                <w:p>
                  <w:pPr>
                    <w:autoSpaceDE/>
                    <w:autoSpaceDN/>
                    <w:adjustRightInd w:val="0"/>
                    <w:snapToGrid w:val="0"/>
                    <w:spacing w:line="240" w:lineRule="auto"/>
                    <w:rPr>
                      <w:rFonts w:hint="eastAsia" w:eastAsia="宋体" w:cs="Times New Roman"/>
                      <w:color w:val="auto"/>
                      <w:sz w:val="21"/>
                      <w:szCs w:val="21"/>
                      <w:lang w:eastAsia="zh-CN"/>
                    </w:rPr>
                  </w:pPr>
                  <w:r>
                    <w:rPr>
                      <w:rFonts w:hint="eastAsia" w:cs="Times New Roman"/>
                      <w:color w:val="auto"/>
                      <w:sz w:val="21"/>
                      <w:szCs w:val="21"/>
                      <w:lang w:eastAsia="zh-CN"/>
                    </w:rPr>
                    <w:t>洗车平台</w:t>
                  </w:r>
                </w:p>
              </w:tc>
              <w:tc>
                <w:tcPr>
                  <w:tcW w:w="2584" w:type="pct"/>
                  <w:tcBorders>
                    <w:tl2br w:val="nil"/>
                    <w:tr2bl w:val="nil"/>
                  </w:tcBorders>
                  <w:vAlign w:val="center"/>
                </w:tcPr>
                <w:p>
                  <w:pPr>
                    <w:autoSpaceDE/>
                    <w:autoSpaceDN/>
                    <w:spacing w:line="240" w:lineRule="auto"/>
                    <w:rPr>
                      <w:rFonts w:hint="eastAsia" w:cs="Times New Roman"/>
                      <w:color w:val="auto"/>
                      <w:sz w:val="21"/>
                      <w:szCs w:val="21"/>
                    </w:rPr>
                  </w:pPr>
                  <w:r>
                    <w:rPr>
                      <w:rFonts w:hint="default" w:ascii="Times New Roman" w:hAnsi="Times New Roman" w:eastAsia="宋体" w:cs="Times New Roman"/>
                      <w:color w:val="auto"/>
                      <w:sz w:val="21"/>
                      <w:szCs w:val="21"/>
                    </w:rPr>
                    <w:t>主要用于</w:t>
                  </w:r>
                  <w:r>
                    <w:rPr>
                      <w:rFonts w:hint="default" w:ascii="Times New Roman" w:hAnsi="Times New Roman" w:eastAsia="宋体" w:cs="Times New Roman"/>
                      <w:color w:val="auto"/>
                      <w:sz w:val="21"/>
                      <w:szCs w:val="21"/>
                      <w:lang w:eastAsia="zh-CN"/>
                    </w:rPr>
                    <w:t>清洗进出场车辆，占地面积为</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p>
              </w:tc>
              <w:tc>
                <w:tcPr>
                  <w:tcW w:w="695" w:type="pct"/>
                  <w:tcBorders>
                    <w:tl2br w:val="nil"/>
                    <w:tr2bl w:val="nil"/>
                  </w:tcBorders>
                  <w:vAlign w:val="center"/>
                </w:tcPr>
                <w:p>
                  <w:pPr>
                    <w:autoSpaceDE/>
                    <w:autoSpaceDN/>
                    <w:spacing w:line="240" w:lineRule="auto"/>
                    <w:rPr>
                      <w:rFonts w:hint="eastAsia" w:cs="Times New Roman"/>
                      <w:color w:val="auto"/>
                      <w:sz w:val="21"/>
                      <w:szCs w:val="21"/>
                    </w:rPr>
                  </w:pPr>
                  <w:r>
                    <w:rPr>
                      <w:rFonts w:hint="eastAsia"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56" w:type="pct"/>
                  <w:vMerge w:val="restart"/>
                  <w:tcBorders>
                    <w:tl2br w:val="nil"/>
                    <w:tr2bl w:val="nil"/>
                  </w:tcBorders>
                  <w:vAlign w:val="center"/>
                </w:tcPr>
                <w:p>
                  <w:pPr>
                    <w:widowControl/>
                    <w:autoSpaceDE/>
                    <w:autoSpaceDN/>
                    <w:adjustRightInd w:val="0"/>
                    <w:snapToGrid w:val="0"/>
                    <w:spacing w:before="100" w:after="100" w:line="240" w:lineRule="auto"/>
                    <w:rPr>
                      <w:rFonts w:cs="Times New Roman"/>
                      <w:color w:val="000000"/>
                      <w:sz w:val="21"/>
                      <w:szCs w:val="21"/>
                    </w:rPr>
                  </w:pPr>
                  <w:r>
                    <w:rPr>
                      <w:rFonts w:cs="Times New Roman"/>
                      <w:color w:val="000000"/>
                      <w:sz w:val="21"/>
                      <w:szCs w:val="21"/>
                    </w:rPr>
                    <w:t>公用工程</w:t>
                  </w:r>
                </w:p>
              </w:tc>
              <w:tc>
                <w:tcPr>
                  <w:tcW w:w="1063" w:type="pct"/>
                  <w:tcBorders>
                    <w:tl2br w:val="nil"/>
                    <w:tr2bl w:val="nil"/>
                  </w:tcBorders>
                  <w:vAlign w:val="center"/>
                </w:tcPr>
                <w:p>
                  <w:pPr>
                    <w:autoSpaceDE/>
                    <w:autoSpaceDN/>
                    <w:spacing w:line="240" w:lineRule="auto"/>
                    <w:rPr>
                      <w:rFonts w:cs="Times New Roman"/>
                      <w:sz w:val="21"/>
                      <w:szCs w:val="21"/>
                    </w:rPr>
                  </w:pPr>
                  <w:r>
                    <w:rPr>
                      <w:rFonts w:hint="eastAsia" w:cs="Times New Roman"/>
                      <w:sz w:val="21"/>
                      <w:szCs w:val="21"/>
                    </w:rPr>
                    <w:t>供</w:t>
                  </w:r>
                  <w:r>
                    <w:rPr>
                      <w:rFonts w:cs="Times New Roman"/>
                      <w:sz w:val="21"/>
                      <w:szCs w:val="21"/>
                    </w:rPr>
                    <w:t>水系统</w:t>
                  </w:r>
                </w:p>
              </w:tc>
              <w:tc>
                <w:tcPr>
                  <w:tcW w:w="2584" w:type="pct"/>
                  <w:tcBorders>
                    <w:tl2br w:val="nil"/>
                    <w:tr2bl w:val="nil"/>
                  </w:tcBorders>
                  <w:vAlign w:val="center"/>
                </w:tcPr>
                <w:p>
                  <w:pPr>
                    <w:adjustRightInd w:val="0"/>
                    <w:spacing w:line="240" w:lineRule="auto"/>
                    <w:rPr>
                      <w:rFonts w:cs="Times New Roman"/>
                      <w:color w:val="auto"/>
                      <w:sz w:val="21"/>
                      <w:szCs w:val="21"/>
                    </w:rPr>
                  </w:pPr>
                  <w:r>
                    <w:rPr>
                      <w:rFonts w:cs="Times New Roman"/>
                      <w:color w:val="auto"/>
                      <w:sz w:val="21"/>
                      <w:szCs w:val="21"/>
                    </w:rPr>
                    <w:t>自备水井</w:t>
                  </w:r>
                </w:p>
              </w:tc>
              <w:tc>
                <w:tcPr>
                  <w:tcW w:w="695" w:type="pct"/>
                  <w:tcBorders>
                    <w:tl2br w:val="nil"/>
                    <w:tr2bl w:val="nil"/>
                  </w:tcBorders>
                  <w:vAlign w:val="center"/>
                </w:tcPr>
                <w:p>
                  <w:pPr>
                    <w:adjustRightInd w:val="0"/>
                    <w:spacing w:line="240" w:lineRule="auto"/>
                    <w:rPr>
                      <w:rFonts w:cs="Times New Roman"/>
                      <w:sz w:val="21"/>
                      <w:szCs w:val="21"/>
                    </w:rPr>
                  </w:pPr>
                  <w:r>
                    <w:rPr>
                      <w:rFonts w:hint="eastAsia"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56" w:type="pct"/>
                  <w:vMerge w:val="continue"/>
                  <w:tcBorders>
                    <w:tl2br w:val="nil"/>
                    <w:tr2bl w:val="nil"/>
                  </w:tcBorders>
                  <w:vAlign w:val="center"/>
                </w:tcPr>
                <w:p>
                  <w:pPr>
                    <w:widowControl/>
                    <w:autoSpaceDE/>
                    <w:autoSpaceDN/>
                    <w:adjustRightInd w:val="0"/>
                    <w:snapToGrid w:val="0"/>
                    <w:spacing w:before="100" w:after="100" w:line="240" w:lineRule="auto"/>
                    <w:ind w:left="-120" w:leftChars="-50"/>
                    <w:rPr>
                      <w:rFonts w:cs="Times New Roman"/>
                      <w:color w:val="000000"/>
                      <w:sz w:val="21"/>
                      <w:szCs w:val="21"/>
                    </w:rPr>
                  </w:pPr>
                </w:p>
              </w:tc>
              <w:tc>
                <w:tcPr>
                  <w:tcW w:w="1063" w:type="pct"/>
                  <w:tcBorders>
                    <w:tl2br w:val="nil"/>
                    <w:tr2bl w:val="nil"/>
                  </w:tcBorders>
                  <w:vAlign w:val="center"/>
                </w:tcPr>
                <w:p>
                  <w:pPr>
                    <w:autoSpaceDE/>
                    <w:autoSpaceDN/>
                    <w:spacing w:line="240" w:lineRule="auto"/>
                    <w:rPr>
                      <w:rFonts w:cs="Times New Roman"/>
                      <w:sz w:val="21"/>
                      <w:szCs w:val="21"/>
                    </w:rPr>
                  </w:pPr>
                  <w:r>
                    <w:rPr>
                      <w:rFonts w:cs="Times New Roman"/>
                      <w:sz w:val="21"/>
                      <w:szCs w:val="21"/>
                    </w:rPr>
                    <w:t>排水系统</w:t>
                  </w:r>
                </w:p>
              </w:tc>
              <w:tc>
                <w:tcPr>
                  <w:tcW w:w="258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cs="Times New Roman"/>
                      <w:color w:val="auto"/>
                      <w:sz w:val="21"/>
                      <w:szCs w:val="21"/>
                    </w:rPr>
                  </w:pPr>
                  <w:r>
                    <w:rPr>
                      <w:rFonts w:hint="default" w:ascii="Times New Roman" w:hAnsi="Times New Roman" w:eastAsia="宋体" w:cs="Times New Roman"/>
                      <w:color w:val="auto"/>
                      <w:sz w:val="21"/>
                      <w:szCs w:val="21"/>
                    </w:rPr>
                    <w:t>厂区</w:t>
                  </w:r>
                  <w:r>
                    <w:rPr>
                      <w:rFonts w:hint="eastAsia" w:cs="Times New Roman"/>
                      <w:color w:val="auto"/>
                      <w:sz w:val="21"/>
                      <w:szCs w:val="21"/>
                      <w:lang w:eastAsia="zh-CN"/>
                    </w:rPr>
                    <w:t>清洗车辆废水经配套沉淀池循环利用，</w:t>
                  </w:r>
                  <w:r>
                    <w:rPr>
                      <w:rFonts w:hint="default" w:ascii="Times New Roman" w:hAnsi="Times New Roman" w:eastAsia="宋体" w:cs="Times New Roman"/>
                      <w:color w:val="auto"/>
                      <w:sz w:val="21"/>
                      <w:szCs w:val="21"/>
                    </w:rPr>
                    <w:t>无外排</w:t>
                  </w:r>
                  <w:r>
                    <w:rPr>
                      <w:rFonts w:hint="eastAsia" w:cs="Times New Roman"/>
                      <w:color w:val="auto"/>
                      <w:sz w:val="21"/>
                      <w:szCs w:val="21"/>
                      <w:lang w:eastAsia="zh-CN"/>
                    </w:rPr>
                    <w:t>；</w:t>
                  </w:r>
                  <w:r>
                    <w:rPr>
                      <w:rFonts w:hint="default" w:ascii="Times New Roman" w:hAnsi="Times New Roman" w:eastAsia="宋体" w:cs="Times New Roman"/>
                      <w:color w:val="000000"/>
                      <w:kern w:val="24"/>
                      <w:sz w:val="21"/>
                      <w:szCs w:val="21"/>
                      <w:highlight w:val="none"/>
                    </w:rPr>
                    <w:t>生活污水</w:t>
                  </w:r>
                  <w:r>
                    <w:rPr>
                      <w:rFonts w:hint="eastAsia" w:cs="Times New Roman"/>
                      <w:color w:val="000000"/>
                      <w:kern w:val="24"/>
                      <w:sz w:val="21"/>
                      <w:szCs w:val="21"/>
                      <w:highlight w:val="none"/>
                      <w:lang w:eastAsia="zh-CN"/>
                    </w:rPr>
                    <w:t>为职工</w:t>
                  </w:r>
                  <w:r>
                    <w:rPr>
                      <w:sz w:val="21"/>
                      <w:szCs w:val="21"/>
                    </w:rPr>
                    <w:t>盥洗废水</w:t>
                  </w:r>
                  <w:r>
                    <w:rPr>
                      <w:rFonts w:hint="eastAsia"/>
                      <w:sz w:val="21"/>
                      <w:szCs w:val="21"/>
                      <w:lang w:eastAsia="zh-CN"/>
                    </w:rPr>
                    <w:t>，</w:t>
                  </w:r>
                  <w:r>
                    <w:rPr>
                      <w:rFonts w:hint="default" w:ascii="Times New Roman" w:hAnsi="Times New Roman" w:eastAsia="宋体" w:cs="Times New Roman"/>
                      <w:color w:val="000000"/>
                      <w:kern w:val="24"/>
                      <w:sz w:val="21"/>
                      <w:szCs w:val="21"/>
                      <w:highlight w:val="none"/>
                    </w:rPr>
                    <w:t>产生量较少，水质简单</w:t>
                  </w:r>
                  <w:r>
                    <w:rPr>
                      <w:rFonts w:hint="eastAsia" w:ascii="Times New Roman" w:hAnsi="Times New Roman" w:eastAsia="宋体" w:cs="Times New Roman"/>
                      <w:color w:val="000000"/>
                      <w:kern w:val="24"/>
                      <w:sz w:val="21"/>
                      <w:szCs w:val="21"/>
                      <w:highlight w:val="none"/>
                      <w:lang w:eastAsia="zh-CN"/>
                    </w:rPr>
                    <w:t>，</w:t>
                  </w:r>
                  <w:r>
                    <w:rPr>
                      <w:rFonts w:hint="eastAsia" w:cs="Times New Roman"/>
                      <w:color w:val="auto"/>
                      <w:kern w:val="24"/>
                      <w:sz w:val="21"/>
                      <w:szCs w:val="21"/>
                      <w:highlight w:val="none"/>
                      <w:lang w:eastAsia="zh-CN"/>
                    </w:rPr>
                    <w:t>排入化粪池，定期清掏</w:t>
                  </w:r>
                  <w:r>
                    <w:rPr>
                      <w:rFonts w:hint="default"/>
                      <w:sz w:val="21"/>
                      <w:szCs w:val="21"/>
                      <w:lang w:eastAsia="zh-CN"/>
                    </w:rPr>
                    <w:t>。</w:t>
                  </w:r>
                </w:p>
              </w:tc>
              <w:tc>
                <w:tcPr>
                  <w:tcW w:w="695" w:type="pct"/>
                  <w:tcBorders>
                    <w:tl2br w:val="nil"/>
                    <w:tr2bl w:val="nil"/>
                  </w:tcBorders>
                  <w:vAlign w:val="center"/>
                </w:tcPr>
                <w:p>
                  <w:pPr>
                    <w:adjustRightInd w:val="0"/>
                    <w:spacing w:line="240" w:lineRule="auto"/>
                    <w:rPr>
                      <w:rFonts w:cs="Times New Roman"/>
                      <w:sz w:val="21"/>
                      <w:szCs w:val="21"/>
                    </w:rPr>
                  </w:pPr>
                  <w:r>
                    <w:rPr>
                      <w:rFonts w:hint="eastAsia"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8" w:hRule="atLeast"/>
                <w:jc w:val="center"/>
              </w:trPr>
              <w:tc>
                <w:tcPr>
                  <w:tcW w:w="656" w:type="pct"/>
                  <w:vMerge w:val="continue"/>
                  <w:tcBorders>
                    <w:tl2br w:val="nil"/>
                    <w:tr2bl w:val="nil"/>
                  </w:tcBorders>
                  <w:vAlign w:val="center"/>
                </w:tcPr>
                <w:p>
                  <w:pPr>
                    <w:widowControl/>
                    <w:autoSpaceDE/>
                    <w:autoSpaceDN/>
                    <w:adjustRightInd w:val="0"/>
                    <w:snapToGrid w:val="0"/>
                    <w:spacing w:before="100" w:after="100" w:line="240" w:lineRule="auto"/>
                    <w:ind w:left="-120" w:leftChars="-50"/>
                    <w:rPr>
                      <w:rFonts w:cs="Times New Roman"/>
                      <w:color w:val="000000"/>
                      <w:sz w:val="21"/>
                      <w:szCs w:val="21"/>
                    </w:rPr>
                  </w:pPr>
                </w:p>
              </w:tc>
              <w:tc>
                <w:tcPr>
                  <w:tcW w:w="1063" w:type="pct"/>
                  <w:tcBorders>
                    <w:tl2br w:val="nil"/>
                    <w:tr2bl w:val="nil"/>
                  </w:tcBorders>
                  <w:vAlign w:val="center"/>
                </w:tcPr>
                <w:p>
                  <w:pPr>
                    <w:autoSpaceDE/>
                    <w:autoSpaceDN/>
                    <w:spacing w:line="240" w:lineRule="auto"/>
                    <w:rPr>
                      <w:rFonts w:cs="Times New Roman"/>
                      <w:sz w:val="21"/>
                      <w:szCs w:val="21"/>
                    </w:rPr>
                  </w:pPr>
                  <w:r>
                    <w:rPr>
                      <w:rFonts w:cs="Times New Roman"/>
                      <w:sz w:val="21"/>
                      <w:szCs w:val="21"/>
                    </w:rPr>
                    <w:t>供电系统</w:t>
                  </w:r>
                </w:p>
              </w:tc>
              <w:tc>
                <w:tcPr>
                  <w:tcW w:w="2584" w:type="pct"/>
                  <w:tcBorders>
                    <w:tl2br w:val="nil"/>
                    <w:tr2bl w:val="nil"/>
                  </w:tcBorders>
                  <w:vAlign w:val="center"/>
                </w:tcPr>
                <w:p>
                  <w:pPr>
                    <w:adjustRightInd w:val="0"/>
                    <w:spacing w:line="240" w:lineRule="auto"/>
                    <w:rPr>
                      <w:rFonts w:cs="Times New Roman"/>
                      <w:color w:val="auto"/>
                      <w:sz w:val="21"/>
                      <w:szCs w:val="21"/>
                    </w:rPr>
                  </w:pPr>
                  <w:r>
                    <w:rPr>
                      <w:rFonts w:cs="Times New Roman"/>
                      <w:color w:val="auto"/>
                      <w:sz w:val="21"/>
                      <w:szCs w:val="21"/>
                    </w:rPr>
                    <w:t>自备变压器</w:t>
                  </w:r>
                </w:p>
              </w:tc>
              <w:tc>
                <w:tcPr>
                  <w:tcW w:w="695" w:type="pct"/>
                  <w:tcBorders>
                    <w:tl2br w:val="nil"/>
                    <w:tr2bl w:val="nil"/>
                  </w:tcBorders>
                  <w:vAlign w:val="center"/>
                </w:tcPr>
                <w:p>
                  <w:pPr>
                    <w:adjustRightInd w:val="0"/>
                    <w:spacing w:line="240" w:lineRule="auto"/>
                    <w:rPr>
                      <w:rFonts w:cs="Times New Roman"/>
                      <w:sz w:val="21"/>
                      <w:szCs w:val="21"/>
                    </w:rPr>
                  </w:pPr>
                  <w:r>
                    <w:rPr>
                      <w:rFonts w:hint="eastAsia"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656" w:type="pct"/>
                  <w:vMerge w:val="restart"/>
                  <w:tcBorders>
                    <w:tl2br w:val="nil"/>
                    <w:tr2bl w:val="nil"/>
                  </w:tcBorders>
                  <w:vAlign w:val="center"/>
                </w:tcPr>
                <w:p>
                  <w:pPr>
                    <w:autoSpaceDE/>
                    <w:autoSpaceDN/>
                    <w:adjustRightInd w:val="0"/>
                    <w:snapToGrid w:val="0"/>
                    <w:spacing w:line="240" w:lineRule="auto"/>
                    <w:ind w:left="-120" w:leftChars="-50" w:right="-120" w:rightChars="-50"/>
                    <w:rPr>
                      <w:rFonts w:hint="eastAsia" w:eastAsia="宋体" w:cs="Times New Roman"/>
                      <w:color w:val="000000"/>
                      <w:sz w:val="21"/>
                      <w:szCs w:val="21"/>
                      <w:lang w:eastAsia="zh-CN"/>
                    </w:rPr>
                  </w:pPr>
                  <w:r>
                    <w:rPr>
                      <w:rFonts w:hint="eastAsia" w:cs="Times New Roman"/>
                      <w:color w:val="000000"/>
                      <w:sz w:val="21"/>
                      <w:szCs w:val="21"/>
                      <w:lang w:eastAsia="zh-CN"/>
                    </w:rPr>
                    <w:t>环保工程</w:t>
                  </w:r>
                </w:p>
              </w:tc>
              <w:tc>
                <w:tcPr>
                  <w:tcW w:w="1063" w:type="pct"/>
                  <w:vMerge w:val="restart"/>
                  <w:tcBorders>
                    <w:tl2br w:val="nil"/>
                    <w:tr2bl w:val="nil"/>
                  </w:tcBorders>
                  <w:vAlign w:val="center"/>
                </w:tcPr>
                <w:p>
                  <w:pPr>
                    <w:autoSpaceDE/>
                    <w:autoSpaceDN/>
                    <w:adjustRightInd w:val="0"/>
                    <w:snapToGrid w:val="0"/>
                    <w:spacing w:line="240" w:lineRule="auto"/>
                    <w:ind w:right="-120" w:rightChars="-50"/>
                    <w:rPr>
                      <w:rFonts w:cs="Times New Roman"/>
                      <w:sz w:val="21"/>
                      <w:szCs w:val="21"/>
                    </w:rPr>
                  </w:pPr>
                  <w:r>
                    <w:rPr>
                      <w:rFonts w:hint="eastAsia" w:cs="Times New Roman"/>
                      <w:sz w:val="21"/>
                      <w:szCs w:val="21"/>
                    </w:rPr>
                    <w:t>废</w:t>
                  </w:r>
                  <w:r>
                    <w:rPr>
                      <w:rFonts w:hint="eastAsia" w:cs="Times New Roman"/>
                      <w:sz w:val="21"/>
                      <w:szCs w:val="21"/>
                      <w:lang w:eastAsia="zh-CN"/>
                    </w:rPr>
                    <w:t>气</w:t>
                  </w:r>
                  <w:r>
                    <w:rPr>
                      <w:rFonts w:hint="eastAsia" w:cs="Times New Roman"/>
                      <w:sz w:val="21"/>
                      <w:szCs w:val="21"/>
                    </w:rPr>
                    <w:t>治理设施</w:t>
                  </w:r>
                </w:p>
              </w:tc>
              <w:tc>
                <w:tcPr>
                  <w:tcW w:w="2584" w:type="pct"/>
                  <w:tcBorders>
                    <w:tl2br w:val="nil"/>
                    <w:tr2bl w:val="nil"/>
                  </w:tcBorders>
                  <w:vAlign w:val="center"/>
                </w:tcPr>
                <w:p>
                  <w:pPr>
                    <w:adjustRightInd w:val="0"/>
                    <w:spacing w:line="240" w:lineRule="auto"/>
                    <w:rPr>
                      <w:rFonts w:ascii="Times New Roman" w:hAnsi="Times New Roman" w:eastAsia="宋体" w:cs="Times New Roman"/>
                      <w:color w:val="auto"/>
                      <w:sz w:val="21"/>
                      <w:szCs w:val="21"/>
                      <w:lang w:val="zh-CN" w:eastAsia="zh-CN" w:bidi="zh-CN"/>
                    </w:rPr>
                  </w:pPr>
                  <w:r>
                    <w:rPr>
                      <w:rFonts w:hint="eastAsia" w:ascii="Times New Roman" w:hAnsi="Times New Roman" w:cs="Times New Roman"/>
                      <w:sz w:val="21"/>
                      <w:szCs w:val="21"/>
                      <w:highlight w:val="none"/>
                      <w:lang w:eastAsia="zh-CN"/>
                    </w:rPr>
                    <w:t>原料</w:t>
                  </w:r>
                  <w:r>
                    <w:rPr>
                      <w:rFonts w:hint="default" w:ascii="Times New Roman" w:hAnsi="Times New Roman" w:eastAsia="宋体" w:cs="Times New Roman"/>
                      <w:sz w:val="21"/>
                      <w:szCs w:val="21"/>
                      <w:highlight w:val="none"/>
                    </w:rPr>
                    <w:t>堆</w:t>
                  </w:r>
                  <w:r>
                    <w:rPr>
                      <w:rFonts w:hint="eastAsia" w:ascii="Times New Roman" w:hAnsi="Times New Roman" w:cs="Times New Roman"/>
                      <w:sz w:val="21"/>
                      <w:szCs w:val="21"/>
                      <w:highlight w:val="none"/>
                      <w:lang w:eastAsia="zh-CN"/>
                    </w:rPr>
                    <w:t>与成品堆堆</w:t>
                  </w:r>
                  <w:r>
                    <w:rPr>
                      <w:rFonts w:hint="default" w:ascii="Times New Roman" w:hAnsi="Times New Roman" w:eastAsia="宋体" w:cs="Times New Roman"/>
                      <w:sz w:val="21"/>
                      <w:szCs w:val="21"/>
                      <w:highlight w:val="none"/>
                    </w:rPr>
                    <w:t>存点上方设置喷淋装置；</w:t>
                  </w:r>
                  <w:r>
                    <w:rPr>
                      <w:rFonts w:hint="default" w:ascii="Times New Roman" w:hAnsi="Times New Roman" w:eastAsia="宋体" w:cs="Times New Roman"/>
                      <w:sz w:val="21"/>
                      <w:szCs w:val="21"/>
                      <w:highlight w:val="none"/>
                      <w:lang w:eastAsia="zh-CN"/>
                    </w:rPr>
                    <w:t>皮带机密闭；</w:t>
                  </w:r>
                  <w:r>
                    <w:rPr>
                      <w:rFonts w:hint="eastAsia" w:cs="Times New Roman"/>
                      <w:sz w:val="21"/>
                      <w:szCs w:val="21"/>
                      <w:highlight w:val="none"/>
                      <w:lang w:eastAsia="zh-CN"/>
                    </w:rPr>
                    <w:t>原料库</w:t>
                  </w:r>
                  <w:r>
                    <w:rPr>
                      <w:rFonts w:hint="eastAsia" w:ascii="Times New Roman" w:hAnsi="Times New Roman" w:cs="Times New Roman"/>
                      <w:sz w:val="21"/>
                      <w:szCs w:val="21"/>
                      <w:highlight w:val="none"/>
                      <w:lang w:eastAsia="zh-CN"/>
                    </w:rPr>
                    <w:t>、</w:t>
                  </w:r>
                  <w:r>
                    <w:rPr>
                      <w:rFonts w:hint="eastAsia" w:cs="Times New Roman"/>
                      <w:sz w:val="21"/>
                      <w:szCs w:val="21"/>
                      <w:highlight w:val="none"/>
                      <w:lang w:eastAsia="zh-CN"/>
                    </w:rPr>
                    <w:t>成品库存车间</w:t>
                  </w:r>
                  <w:r>
                    <w:rPr>
                      <w:rFonts w:hint="default" w:ascii="Times New Roman" w:hAnsi="Times New Roman" w:eastAsia="宋体" w:cs="Times New Roman"/>
                      <w:sz w:val="21"/>
                      <w:szCs w:val="21"/>
                      <w:highlight w:val="none"/>
                      <w:lang w:eastAsia="zh-CN"/>
                    </w:rPr>
                    <w:t>定时洒水抑尘；厂区地面硬化</w:t>
                  </w:r>
                  <w:r>
                    <w:rPr>
                      <w:rFonts w:hint="eastAsia" w:cs="Times New Roman"/>
                      <w:color w:val="auto"/>
                      <w:kern w:val="24"/>
                      <w:sz w:val="21"/>
                      <w:szCs w:val="21"/>
                      <w:lang w:val="en-US" w:eastAsia="zh-CN"/>
                    </w:rPr>
                    <w:t>，制定洒扫制度，定期洒水抑尘；</w:t>
                  </w:r>
                  <w:r>
                    <w:rPr>
                      <w:rFonts w:hint="default" w:ascii="Times New Roman" w:hAnsi="Times New Roman" w:eastAsia="宋体" w:cs="Times New Roman"/>
                      <w:sz w:val="21"/>
                      <w:szCs w:val="21"/>
                      <w:highlight w:val="none"/>
                      <w:lang w:eastAsia="zh-CN"/>
                    </w:rPr>
                    <w:t>出入口设置</w:t>
                  </w:r>
                  <w:r>
                    <w:rPr>
                      <w:rFonts w:hint="eastAsia" w:ascii="Times New Roman" w:hAnsi="Times New Roman" w:cs="Times New Roman"/>
                      <w:sz w:val="21"/>
                      <w:szCs w:val="21"/>
                      <w:highlight w:val="none"/>
                      <w:lang w:eastAsia="zh-CN"/>
                    </w:rPr>
                    <w:t>洗车平台。</w:t>
                  </w:r>
                </w:p>
              </w:tc>
              <w:tc>
                <w:tcPr>
                  <w:tcW w:w="695" w:type="pct"/>
                  <w:vMerge w:val="restart"/>
                  <w:tcBorders>
                    <w:tl2br w:val="nil"/>
                    <w:tr2bl w:val="nil"/>
                  </w:tcBorders>
                  <w:vAlign w:val="center"/>
                </w:tcPr>
                <w:p>
                  <w:pPr>
                    <w:widowControl/>
                    <w:autoSpaceDE/>
                    <w:autoSpaceDN/>
                    <w:spacing w:line="240" w:lineRule="auto"/>
                    <w:rPr>
                      <w:sz w:val="21"/>
                      <w:szCs w:val="21"/>
                    </w:rPr>
                  </w:pPr>
                  <w:r>
                    <w:rPr>
                      <w:rFonts w:hint="eastAsia"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656" w:type="pct"/>
                  <w:vMerge w:val="continue"/>
                  <w:tcBorders>
                    <w:tl2br w:val="nil"/>
                    <w:tr2bl w:val="nil"/>
                  </w:tcBorders>
                  <w:vAlign w:val="center"/>
                </w:tcPr>
                <w:p>
                  <w:pPr>
                    <w:adjustRightInd w:val="0"/>
                    <w:spacing w:line="240" w:lineRule="auto"/>
                  </w:pPr>
                </w:p>
              </w:tc>
              <w:tc>
                <w:tcPr>
                  <w:tcW w:w="1063" w:type="pct"/>
                  <w:vMerge w:val="continue"/>
                  <w:tcBorders>
                    <w:tl2br w:val="nil"/>
                    <w:tr2bl w:val="nil"/>
                  </w:tcBorders>
                  <w:vAlign w:val="center"/>
                </w:tcPr>
                <w:p>
                  <w:pPr>
                    <w:adjustRightInd w:val="0"/>
                    <w:spacing w:line="240" w:lineRule="auto"/>
                  </w:pPr>
                </w:p>
              </w:tc>
              <w:tc>
                <w:tcPr>
                  <w:tcW w:w="2584" w:type="pct"/>
                  <w:tcBorders>
                    <w:tl2br w:val="nil"/>
                    <w:tr2bl w:val="nil"/>
                  </w:tcBorders>
                  <w:vAlign w:val="center"/>
                </w:tcPr>
                <w:p>
                  <w:pPr>
                    <w:adjustRightInd w:val="0"/>
                    <w:spacing w:line="240" w:lineRule="auto"/>
                    <w:rPr>
                      <w:rFonts w:hint="default" w:cs="Times New Roman"/>
                      <w:color w:val="auto"/>
                      <w:kern w:val="24"/>
                      <w:sz w:val="21"/>
                      <w:szCs w:val="21"/>
                      <w:lang w:val="en-US" w:eastAsia="zh-CN"/>
                    </w:rPr>
                  </w:pPr>
                  <w:r>
                    <w:rPr>
                      <w:rFonts w:hint="eastAsia" w:cs="Times New Roman"/>
                      <w:color w:val="auto"/>
                      <w:kern w:val="24"/>
                      <w:sz w:val="21"/>
                      <w:szCs w:val="21"/>
                      <w:lang w:val="en-US" w:eastAsia="zh-CN"/>
                    </w:rPr>
                    <w:t>破碎机、筛分机等产尘设备置于封闭式生产车间内，且在破碎机、筛分机进料口、出料口设置集尘罩+1台布袋除尘器+20m高排气筒</w:t>
                  </w:r>
                </w:p>
              </w:tc>
              <w:tc>
                <w:tcPr>
                  <w:tcW w:w="695" w:type="pct"/>
                  <w:vMerge w:val="continue"/>
                  <w:tcBorders>
                    <w:tl2br w:val="nil"/>
                    <w:tr2bl w:val="nil"/>
                  </w:tcBorders>
                  <w:vAlign w:val="center"/>
                </w:tcPr>
                <w:p>
                  <w:pPr>
                    <w:adjustRightInd w:val="0"/>
                    <w:spacing w:line="240" w:lineRule="auto"/>
                    <w:rPr>
                      <w:rFonts w:hint="eastAsia" w:cs="Times New Roman"/>
                      <w:color w:val="auto"/>
                      <w:kern w:val="2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656" w:type="pct"/>
                  <w:vMerge w:val="continue"/>
                  <w:tcBorders>
                    <w:tl2br w:val="nil"/>
                    <w:tr2bl w:val="nil"/>
                  </w:tcBorders>
                  <w:vAlign w:val="center"/>
                </w:tcPr>
                <w:p>
                  <w:pPr>
                    <w:autoSpaceDE/>
                    <w:autoSpaceDN/>
                    <w:adjustRightInd w:val="0"/>
                    <w:snapToGrid w:val="0"/>
                    <w:spacing w:line="240" w:lineRule="auto"/>
                    <w:ind w:left="-120" w:leftChars="-50" w:right="-120" w:rightChars="-50"/>
                    <w:rPr>
                      <w:rFonts w:hint="eastAsia" w:cs="Times New Roman"/>
                      <w:color w:val="000000"/>
                      <w:sz w:val="21"/>
                      <w:szCs w:val="21"/>
                      <w:lang w:eastAsia="zh-CN"/>
                    </w:rPr>
                  </w:pPr>
                </w:p>
              </w:tc>
              <w:tc>
                <w:tcPr>
                  <w:tcW w:w="1063" w:type="pct"/>
                  <w:tcBorders>
                    <w:tl2br w:val="nil"/>
                    <w:tr2bl w:val="nil"/>
                  </w:tcBorders>
                  <w:vAlign w:val="center"/>
                </w:tcPr>
                <w:p>
                  <w:pPr>
                    <w:autoSpaceDE/>
                    <w:autoSpaceDN/>
                    <w:adjustRightInd w:val="0"/>
                    <w:snapToGrid w:val="0"/>
                    <w:spacing w:line="240" w:lineRule="auto"/>
                    <w:ind w:right="-120" w:rightChars="-50"/>
                    <w:rPr>
                      <w:rFonts w:hint="eastAsia" w:ascii="Times New Roman" w:hAnsi="Times New Roman" w:eastAsia="宋体" w:cs="Times New Roman"/>
                      <w:sz w:val="21"/>
                      <w:szCs w:val="21"/>
                      <w:lang w:val="zh-CN" w:eastAsia="zh-CN" w:bidi="zh-CN"/>
                    </w:rPr>
                  </w:pPr>
                  <w:r>
                    <w:rPr>
                      <w:rFonts w:hint="eastAsia" w:cs="Times New Roman"/>
                      <w:sz w:val="21"/>
                      <w:szCs w:val="21"/>
                    </w:rPr>
                    <w:t>废水治理设施</w:t>
                  </w:r>
                </w:p>
              </w:tc>
              <w:tc>
                <w:tcPr>
                  <w:tcW w:w="2584" w:type="pct"/>
                  <w:tcBorders>
                    <w:tl2br w:val="nil"/>
                    <w:tr2bl w:val="nil"/>
                  </w:tcBorders>
                  <w:vAlign w:val="center"/>
                </w:tcPr>
                <w:p>
                  <w:pPr>
                    <w:adjustRightInd w:val="0"/>
                    <w:spacing w:line="240" w:lineRule="auto"/>
                    <w:rPr>
                      <w:rFonts w:hint="eastAsia" w:ascii="Times New Roman" w:hAnsi="Times New Roman" w:eastAsia="宋体" w:cs="Times New Roman"/>
                      <w:sz w:val="21"/>
                      <w:szCs w:val="21"/>
                      <w:lang w:val="zh-CN" w:eastAsia="zh-CN" w:bidi="zh-CN"/>
                    </w:rPr>
                  </w:pPr>
                  <w:r>
                    <w:rPr>
                      <w:sz w:val="21"/>
                      <w:szCs w:val="21"/>
                    </w:rPr>
                    <w:t>废水主要为</w:t>
                  </w:r>
                  <w:r>
                    <w:rPr>
                      <w:rFonts w:hint="eastAsia"/>
                      <w:sz w:val="21"/>
                      <w:szCs w:val="21"/>
                      <w:lang w:eastAsia="zh-CN"/>
                    </w:rPr>
                    <w:t>清洗车辆</w:t>
                  </w:r>
                  <w:r>
                    <w:rPr>
                      <w:sz w:val="21"/>
                      <w:szCs w:val="21"/>
                    </w:rPr>
                    <w:t>废水和职工盥洗废水</w:t>
                  </w:r>
                  <w:r>
                    <w:rPr>
                      <w:rFonts w:hint="eastAsia"/>
                      <w:sz w:val="21"/>
                      <w:szCs w:val="21"/>
                      <w:lang w:eastAsia="zh-CN"/>
                    </w:rPr>
                    <w:t>，</w:t>
                  </w:r>
                  <w:r>
                    <w:rPr>
                      <w:rFonts w:hint="eastAsia" w:cs="Times New Roman"/>
                      <w:color w:val="auto"/>
                      <w:sz w:val="21"/>
                      <w:szCs w:val="21"/>
                      <w:lang w:eastAsia="zh-CN"/>
                    </w:rPr>
                    <w:t>清洗车辆废水循环利用；</w:t>
                  </w:r>
                  <w:r>
                    <w:rPr>
                      <w:rFonts w:hint="default" w:ascii="Times New Roman" w:hAnsi="Times New Roman" w:eastAsia="宋体" w:cs="Times New Roman"/>
                      <w:color w:val="000000"/>
                      <w:kern w:val="24"/>
                      <w:sz w:val="21"/>
                      <w:szCs w:val="21"/>
                      <w:highlight w:val="none"/>
                    </w:rPr>
                    <w:t>生活污水</w:t>
                  </w:r>
                  <w:r>
                    <w:rPr>
                      <w:rFonts w:hint="eastAsia" w:cs="Times New Roman"/>
                      <w:color w:val="000000"/>
                      <w:kern w:val="24"/>
                      <w:sz w:val="21"/>
                      <w:szCs w:val="21"/>
                      <w:highlight w:val="none"/>
                      <w:lang w:eastAsia="zh-CN"/>
                    </w:rPr>
                    <w:t>为职工</w:t>
                  </w:r>
                  <w:r>
                    <w:rPr>
                      <w:sz w:val="21"/>
                      <w:szCs w:val="21"/>
                    </w:rPr>
                    <w:t>盥洗废水</w:t>
                  </w:r>
                  <w:r>
                    <w:rPr>
                      <w:rFonts w:hint="eastAsia"/>
                      <w:sz w:val="21"/>
                      <w:szCs w:val="21"/>
                      <w:lang w:eastAsia="zh-CN"/>
                    </w:rPr>
                    <w:t>，</w:t>
                  </w:r>
                  <w:r>
                    <w:rPr>
                      <w:rFonts w:hint="default" w:ascii="Times New Roman" w:hAnsi="Times New Roman" w:eastAsia="宋体" w:cs="Times New Roman"/>
                      <w:color w:val="000000"/>
                      <w:kern w:val="24"/>
                      <w:sz w:val="21"/>
                      <w:szCs w:val="21"/>
                      <w:highlight w:val="none"/>
                    </w:rPr>
                    <w:t>产生量较少，水质简单</w:t>
                  </w:r>
                  <w:r>
                    <w:rPr>
                      <w:rFonts w:hint="eastAsia" w:ascii="Times New Roman" w:hAnsi="Times New Roman" w:eastAsia="宋体" w:cs="Times New Roman"/>
                      <w:color w:val="000000"/>
                      <w:kern w:val="24"/>
                      <w:sz w:val="21"/>
                      <w:szCs w:val="21"/>
                      <w:highlight w:val="none"/>
                      <w:lang w:eastAsia="zh-CN"/>
                    </w:rPr>
                    <w:t>，</w:t>
                  </w:r>
                  <w:r>
                    <w:rPr>
                      <w:rFonts w:hint="eastAsia" w:cs="Times New Roman"/>
                      <w:color w:val="auto"/>
                      <w:kern w:val="24"/>
                      <w:sz w:val="21"/>
                      <w:szCs w:val="21"/>
                      <w:highlight w:val="none"/>
                      <w:lang w:eastAsia="zh-CN"/>
                    </w:rPr>
                    <w:t>排入化粪池，定期清掏。</w:t>
                  </w:r>
                </w:p>
              </w:tc>
              <w:tc>
                <w:tcPr>
                  <w:tcW w:w="695" w:type="pct"/>
                  <w:tcBorders>
                    <w:tl2br w:val="nil"/>
                    <w:tr2bl w:val="nil"/>
                  </w:tcBorders>
                  <w:vAlign w:val="center"/>
                </w:tcPr>
                <w:p>
                  <w:pPr>
                    <w:widowControl/>
                    <w:autoSpaceDE/>
                    <w:autoSpaceDN/>
                    <w:spacing w:line="240" w:lineRule="auto"/>
                    <w:rPr>
                      <w:rFonts w:hint="eastAsia" w:cs="Times New Roman"/>
                      <w:sz w:val="21"/>
                      <w:szCs w:val="21"/>
                    </w:rPr>
                  </w:pPr>
                  <w:r>
                    <w:rPr>
                      <w:rFonts w:hint="eastAsia"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656" w:type="pct"/>
                  <w:vMerge w:val="continue"/>
                  <w:tcBorders>
                    <w:tl2br w:val="nil"/>
                    <w:tr2bl w:val="nil"/>
                  </w:tcBorders>
                  <w:vAlign w:val="center"/>
                </w:tcPr>
                <w:p>
                  <w:pPr>
                    <w:autoSpaceDE/>
                    <w:autoSpaceDN/>
                    <w:adjustRightInd w:val="0"/>
                    <w:snapToGrid w:val="0"/>
                    <w:spacing w:line="240" w:lineRule="auto"/>
                    <w:ind w:left="-120" w:leftChars="-50" w:right="-120" w:rightChars="-50"/>
                    <w:rPr>
                      <w:rFonts w:cs="Times New Roman"/>
                      <w:color w:val="000000"/>
                      <w:sz w:val="21"/>
                      <w:szCs w:val="21"/>
                    </w:rPr>
                  </w:pPr>
                </w:p>
              </w:tc>
              <w:tc>
                <w:tcPr>
                  <w:tcW w:w="1063" w:type="pct"/>
                  <w:tcBorders>
                    <w:tl2br w:val="nil"/>
                    <w:tr2bl w:val="nil"/>
                  </w:tcBorders>
                  <w:vAlign w:val="center"/>
                </w:tcPr>
                <w:p>
                  <w:pPr>
                    <w:autoSpaceDE/>
                    <w:autoSpaceDN/>
                    <w:adjustRightInd w:val="0"/>
                    <w:snapToGrid w:val="0"/>
                    <w:spacing w:line="240" w:lineRule="auto"/>
                    <w:ind w:right="-120" w:rightChars="-50"/>
                    <w:rPr>
                      <w:rFonts w:cs="Times New Roman"/>
                      <w:sz w:val="21"/>
                      <w:szCs w:val="21"/>
                    </w:rPr>
                  </w:pPr>
                  <w:r>
                    <w:rPr>
                      <w:rFonts w:cs="Times New Roman"/>
                      <w:sz w:val="21"/>
                      <w:szCs w:val="21"/>
                    </w:rPr>
                    <w:t>噪声</w:t>
                  </w:r>
                  <w:r>
                    <w:rPr>
                      <w:rFonts w:hint="eastAsia" w:cs="Times New Roman"/>
                      <w:sz w:val="21"/>
                      <w:szCs w:val="21"/>
                    </w:rPr>
                    <w:t>治理设施</w:t>
                  </w:r>
                </w:p>
              </w:tc>
              <w:tc>
                <w:tcPr>
                  <w:tcW w:w="2584" w:type="pct"/>
                  <w:tcBorders>
                    <w:tl2br w:val="nil"/>
                    <w:tr2bl w:val="nil"/>
                  </w:tcBorders>
                  <w:vAlign w:val="center"/>
                </w:tcPr>
                <w:p>
                  <w:pPr>
                    <w:autoSpaceDE/>
                    <w:autoSpaceDN/>
                    <w:adjustRightInd w:val="0"/>
                    <w:snapToGrid w:val="0"/>
                    <w:spacing w:line="240" w:lineRule="auto"/>
                    <w:ind w:right="-120" w:rightChars="-50"/>
                    <w:rPr>
                      <w:rFonts w:cs="Times New Roman"/>
                      <w:sz w:val="21"/>
                      <w:szCs w:val="21"/>
                    </w:rPr>
                  </w:pPr>
                  <w:r>
                    <w:rPr>
                      <w:rFonts w:hint="eastAsia"/>
                      <w:sz w:val="21"/>
                      <w:szCs w:val="21"/>
                    </w:rPr>
                    <w:t>选用低噪声设备，</w:t>
                  </w:r>
                  <w:r>
                    <w:rPr>
                      <w:sz w:val="21"/>
                      <w:szCs w:val="21"/>
                    </w:rPr>
                    <w:t>设备基础减振</w:t>
                  </w:r>
                  <w:r>
                    <w:rPr>
                      <w:rFonts w:hint="eastAsia"/>
                      <w:sz w:val="21"/>
                      <w:szCs w:val="21"/>
                    </w:rPr>
                    <w:t>，</w:t>
                  </w:r>
                  <w:r>
                    <w:rPr>
                      <w:sz w:val="21"/>
                      <w:szCs w:val="21"/>
                    </w:rPr>
                    <w:t>车间</w:t>
                  </w:r>
                  <w:r>
                    <w:rPr>
                      <w:rFonts w:hint="eastAsia"/>
                      <w:sz w:val="21"/>
                      <w:szCs w:val="21"/>
                    </w:rPr>
                    <w:t>密</w:t>
                  </w:r>
                  <w:r>
                    <w:rPr>
                      <w:sz w:val="21"/>
                      <w:szCs w:val="21"/>
                    </w:rPr>
                    <w:t>闭</w:t>
                  </w:r>
                  <w:r>
                    <w:rPr>
                      <w:rFonts w:hint="eastAsia"/>
                      <w:sz w:val="21"/>
                      <w:szCs w:val="21"/>
                    </w:rPr>
                    <w:t>；合理安排时间，</w:t>
                  </w:r>
                  <w:r>
                    <w:rPr>
                      <w:sz w:val="21"/>
                      <w:szCs w:val="21"/>
                    </w:rPr>
                    <w:t>加强管理</w:t>
                  </w:r>
                </w:p>
              </w:tc>
              <w:tc>
                <w:tcPr>
                  <w:tcW w:w="695" w:type="pct"/>
                  <w:tcBorders>
                    <w:tl2br w:val="nil"/>
                    <w:tr2bl w:val="nil"/>
                  </w:tcBorders>
                  <w:vAlign w:val="center"/>
                </w:tcPr>
                <w:p>
                  <w:pPr>
                    <w:autoSpaceDE/>
                    <w:autoSpaceDN/>
                    <w:adjustRightInd w:val="0"/>
                    <w:snapToGrid w:val="0"/>
                    <w:spacing w:line="240" w:lineRule="auto"/>
                    <w:ind w:right="-120" w:rightChars="-50"/>
                    <w:rPr>
                      <w:sz w:val="21"/>
                      <w:szCs w:val="21"/>
                    </w:rPr>
                  </w:pPr>
                  <w:r>
                    <w:rPr>
                      <w:rFonts w:hint="eastAsia"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656" w:type="pct"/>
                  <w:vMerge w:val="continue"/>
                  <w:tcBorders>
                    <w:tl2br w:val="nil"/>
                    <w:tr2bl w:val="nil"/>
                  </w:tcBorders>
                  <w:vAlign w:val="center"/>
                </w:tcPr>
                <w:p>
                  <w:pPr>
                    <w:autoSpaceDE/>
                    <w:autoSpaceDN/>
                    <w:adjustRightInd w:val="0"/>
                    <w:snapToGrid w:val="0"/>
                    <w:spacing w:line="240" w:lineRule="auto"/>
                    <w:ind w:left="-120" w:leftChars="-50" w:right="-120" w:rightChars="-50"/>
                    <w:rPr>
                      <w:rFonts w:cs="Times New Roman"/>
                      <w:color w:val="000000"/>
                      <w:sz w:val="21"/>
                      <w:szCs w:val="21"/>
                    </w:rPr>
                  </w:pPr>
                </w:p>
              </w:tc>
              <w:tc>
                <w:tcPr>
                  <w:tcW w:w="1063" w:type="pct"/>
                  <w:tcBorders>
                    <w:tl2br w:val="nil"/>
                    <w:tr2bl w:val="nil"/>
                  </w:tcBorders>
                  <w:vAlign w:val="center"/>
                </w:tcPr>
                <w:p>
                  <w:pPr>
                    <w:autoSpaceDE/>
                    <w:autoSpaceDN/>
                    <w:adjustRightInd w:val="0"/>
                    <w:snapToGrid w:val="0"/>
                    <w:spacing w:line="240" w:lineRule="auto"/>
                    <w:ind w:right="-120" w:rightChars="-50"/>
                    <w:rPr>
                      <w:rFonts w:cs="Times New Roman"/>
                      <w:color w:val="000000"/>
                      <w:sz w:val="21"/>
                      <w:szCs w:val="21"/>
                    </w:rPr>
                  </w:pPr>
                  <w:r>
                    <w:rPr>
                      <w:rFonts w:cs="Times New Roman"/>
                      <w:color w:val="000000"/>
                      <w:sz w:val="21"/>
                      <w:szCs w:val="21"/>
                    </w:rPr>
                    <w:t>固废</w:t>
                  </w:r>
                  <w:r>
                    <w:rPr>
                      <w:rFonts w:hint="eastAsia" w:cs="Times New Roman"/>
                      <w:color w:val="000000"/>
                      <w:sz w:val="21"/>
                      <w:szCs w:val="21"/>
                    </w:rPr>
                    <w:t>处理措施</w:t>
                  </w:r>
                </w:p>
              </w:tc>
              <w:tc>
                <w:tcPr>
                  <w:tcW w:w="2584" w:type="pct"/>
                  <w:tcBorders>
                    <w:tl2br w:val="nil"/>
                    <w:tr2bl w:val="nil"/>
                  </w:tcBorders>
                  <w:vAlign w:val="center"/>
                </w:tcPr>
                <w:p>
                  <w:pPr>
                    <w:widowControl/>
                    <w:autoSpaceDE/>
                    <w:autoSpaceDN/>
                    <w:spacing w:line="240" w:lineRule="auto"/>
                    <w:rPr>
                      <w:rFonts w:cs="Times New Roman"/>
                      <w:sz w:val="21"/>
                      <w:szCs w:val="21"/>
                    </w:rPr>
                  </w:pPr>
                  <w:r>
                    <w:rPr>
                      <w:rFonts w:hint="eastAsia" w:cs="Times New Roman"/>
                      <w:color w:val="auto"/>
                      <w:sz w:val="21"/>
                      <w:szCs w:val="21"/>
                      <w:lang w:val="en-US" w:eastAsia="zh-CN"/>
                    </w:rPr>
                    <w:t>布袋除尘器的除尘灰</w:t>
                  </w:r>
                  <w:r>
                    <w:rPr>
                      <w:rFonts w:hint="eastAsia" w:cs="Times New Roman"/>
                      <w:color w:val="auto"/>
                      <w:sz w:val="21"/>
                      <w:szCs w:val="21"/>
                      <w:lang w:eastAsia="zh-CN"/>
                    </w:rPr>
                    <w:t>集中收</w:t>
                  </w:r>
                  <w:r>
                    <w:rPr>
                      <w:rFonts w:hint="eastAsia" w:cs="Times New Roman"/>
                      <w:color w:val="auto"/>
                      <w:sz w:val="21"/>
                      <w:szCs w:val="21"/>
                      <w:highlight w:val="none"/>
                      <w:lang w:eastAsia="zh-CN"/>
                    </w:rPr>
                    <w:t>集用于修建高速公路；生活垃圾集中收集，送往村统一地点处理；洗车平台配套的沉淀池产生的泥砂集中收集用于修建高速公路；危废暂存于</w:t>
                  </w:r>
                  <w:r>
                    <w:rPr>
                      <w:rFonts w:hint="eastAsia" w:ascii="Times New Roman" w:hAnsi="Times New Roman" w:cs="Times New Roman"/>
                      <w:color w:val="auto"/>
                      <w:sz w:val="21"/>
                      <w:szCs w:val="21"/>
                      <w:highlight w:val="none"/>
                      <w:lang w:eastAsia="zh-CN"/>
                    </w:rPr>
                    <w:t>危险废物贮存</w:t>
                  </w:r>
                  <w:r>
                    <w:rPr>
                      <w:rFonts w:hint="eastAsia" w:cs="Times New Roman"/>
                      <w:color w:val="auto"/>
                      <w:sz w:val="21"/>
                      <w:szCs w:val="21"/>
                      <w:highlight w:val="none"/>
                      <w:lang w:eastAsia="zh-CN"/>
                    </w:rPr>
                    <w:t>间</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eastAsia="zh-CN"/>
                    </w:rPr>
                    <w:t>委托有资质的单位处置。</w:t>
                  </w:r>
                </w:p>
              </w:tc>
              <w:tc>
                <w:tcPr>
                  <w:tcW w:w="695" w:type="pct"/>
                  <w:tcBorders>
                    <w:tl2br w:val="nil"/>
                    <w:tr2bl w:val="nil"/>
                  </w:tcBorders>
                  <w:vAlign w:val="center"/>
                </w:tcPr>
                <w:p>
                  <w:pPr>
                    <w:widowControl/>
                    <w:autoSpaceDE/>
                    <w:autoSpaceDN/>
                    <w:spacing w:line="240" w:lineRule="auto"/>
                    <w:rPr>
                      <w:rFonts w:cs="Times New Roman"/>
                      <w:sz w:val="21"/>
                      <w:szCs w:val="21"/>
                    </w:rPr>
                  </w:pPr>
                  <w:r>
                    <w:rPr>
                      <w:rFonts w:hint="eastAsia" w:cs="Times New Roman"/>
                      <w:sz w:val="21"/>
                      <w:szCs w:val="21"/>
                    </w:rPr>
                    <w:t>新建</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right="0" w:rightChars="0" w:firstLine="482" w:firstLineChars="200"/>
              <w:jc w:val="left"/>
              <w:textAlignment w:val="auto"/>
              <w:rPr>
                <w:rFonts w:hint="eastAsia"/>
                <w:b/>
                <w:bCs/>
                <w:lang w:val="en-US" w:eastAsia="zh-CN"/>
              </w:rPr>
            </w:pPr>
            <w:r>
              <w:rPr>
                <w:rFonts w:hint="eastAsia"/>
                <w:b/>
                <w:bCs/>
                <w:lang w:val="en-US" w:eastAsia="zh-CN"/>
              </w:rPr>
              <w:t>2、主要产品及产能</w:t>
            </w:r>
          </w:p>
          <w:p>
            <w:pPr>
              <w:pStyle w:val="2"/>
              <w:keepNext w:val="0"/>
              <w:keepLines w:val="0"/>
              <w:pageBreakBefore w:val="0"/>
              <w:widowControl w:val="0"/>
              <w:kinsoku/>
              <w:wordWrap/>
              <w:overflowPunct/>
              <w:topLinePunct w:val="0"/>
              <w:autoSpaceDE w:val="0"/>
              <w:autoSpaceDN w:val="0"/>
              <w:bidi w:val="0"/>
              <w:snapToGrid/>
              <w:spacing w:line="500" w:lineRule="exact"/>
              <w:ind w:left="0" w:leftChars="0" w:firstLine="480" w:firstLineChars="200"/>
              <w:textAlignment w:val="auto"/>
              <w:rPr>
                <w:rFonts w:hint="default" w:ascii="Times New Roman" w:hAnsi="Times New Roman" w:cs="Times New Roman"/>
                <w:color w:val="auto"/>
                <w:kern w:val="24"/>
                <w:sz w:val="24"/>
              </w:rPr>
            </w:pPr>
            <w:r>
              <w:rPr>
                <w:rFonts w:hint="default" w:ascii="Times New Roman" w:hAnsi="Times New Roman" w:cs="Times New Roman"/>
                <w:color w:val="auto"/>
              </w:rPr>
              <w:t>本项目主要以</w:t>
            </w:r>
            <w:r>
              <w:rPr>
                <w:rFonts w:hint="eastAsia" w:cs="Times New Roman"/>
                <w:color w:val="auto"/>
                <w:lang w:eastAsia="zh-CN"/>
              </w:rPr>
              <w:t>承平高速李家营路基弃渣</w:t>
            </w:r>
            <w:r>
              <w:rPr>
                <w:rFonts w:hint="default" w:ascii="Times New Roman" w:hAnsi="Times New Roman" w:cs="Times New Roman"/>
                <w:color w:val="auto"/>
              </w:rPr>
              <w:t>为原材料</w:t>
            </w:r>
            <w:r>
              <w:rPr>
                <w:rFonts w:hint="default" w:ascii="Times New Roman" w:hAnsi="Times New Roman" w:cs="Times New Roman"/>
                <w:color w:val="auto"/>
                <w:lang w:val="en-US" w:eastAsia="zh-CN"/>
              </w:rPr>
              <w:t>进行加工，</w:t>
            </w:r>
            <w:r>
              <w:rPr>
                <w:rFonts w:hint="default" w:ascii="Times New Roman" w:hAnsi="Times New Roman" w:cs="Times New Roman"/>
                <w:color w:val="auto"/>
                <w:sz w:val="24"/>
              </w:rPr>
              <w:t>生产建筑用</w:t>
            </w:r>
            <w:r>
              <w:rPr>
                <w:rFonts w:hint="default" w:ascii="Times New Roman" w:hAnsi="Times New Roman" w:cs="Times New Roman"/>
                <w:color w:val="auto"/>
                <w:sz w:val="24"/>
                <w:lang w:eastAsia="zh-CN"/>
              </w:rPr>
              <w:t>砂</w:t>
            </w:r>
            <w:r>
              <w:rPr>
                <w:rFonts w:hint="default" w:ascii="Times New Roman" w:hAnsi="Times New Roman" w:cs="Times New Roman"/>
                <w:color w:val="auto"/>
                <w:sz w:val="24"/>
              </w:rPr>
              <w:t>石料，粒径为</w:t>
            </w:r>
            <w:r>
              <w:rPr>
                <w:rFonts w:hint="default" w:ascii="Times New Roman" w:hAnsi="Times New Roman" w:cs="Times New Roman"/>
                <w:color w:val="auto"/>
                <w:sz w:val="24"/>
                <w:lang w:val="en-US" w:eastAsia="zh-CN"/>
              </w:rPr>
              <w:t>0-5mm砂子和</w:t>
            </w:r>
            <w:r>
              <w:rPr>
                <w:rFonts w:hint="default" w:ascii="Times New Roman" w:hAnsi="Times New Roman" w:eastAsia="宋体" w:cs="Times New Roman"/>
                <w:i w:val="0"/>
                <w:iCs w:val="0"/>
                <w:color w:val="auto"/>
                <w:kern w:val="0"/>
                <w:sz w:val="24"/>
                <w:szCs w:val="24"/>
                <w:highlight w:val="none"/>
                <w:u w:val="none"/>
                <w:lang w:val="en-US" w:eastAsia="zh-CN" w:bidi="ar"/>
              </w:rPr>
              <w:t>5-10mm、10-20mm、</w:t>
            </w:r>
            <w:r>
              <w:rPr>
                <w:rFonts w:hint="eastAsia" w:cs="Times New Roman"/>
                <w:i w:val="0"/>
                <w:iCs w:val="0"/>
                <w:color w:val="auto"/>
                <w:kern w:val="0"/>
                <w:sz w:val="24"/>
                <w:szCs w:val="24"/>
                <w:highlight w:val="none"/>
                <w:u w:val="none"/>
                <w:lang w:val="en-US" w:eastAsia="zh-CN" w:bidi="ar"/>
              </w:rPr>
              <w:t>20</w:t>
            </w:r>
            <w:r>
              <w:rPr>
                <w:rFonts w:hint="default" w:ascii="Times New Roman" w:hAnsi="Times New Roman" w:eastAsia="宋体" w:cs="Times New Roman"/>
                <w:i w:val="0"/>
                <w:iCs w:val="0"/>
                <w:color w:val="auto"/>
                <w:kern w:val="0"/>
                <w:sz w:val="24"/>
                <w:szCs w:val="24"/>
                <w:highlight w:val="none"/>
                <w:u w:val="none"/>
                <w:lang w:val="en-US" w:eastAsia="zh-CN" w:bidi="ar"/>
              </w:rPr>
              <w:t>-</w:t>
            </w:r>
            <w:r>
              <w:rPr>
                <w:rFonts w:hint="eastAsia" w:cs="Times New Roman"/>
                <w:i w:val="0"/>
                <w:iCs w:val="0"/>
                <w:color w:val="auto"/>
                <w:kern w:val="0"/>
                <w:sz w:val="24"/>
                <w:szCs w:val="24"/>
                <w:highlight w:val="none"/>
                <w:u w:val="none"/>
                <w:lang w:val="en-US" w:eastAsia="zh-CN" w:bidi="ar"/>
              </w:rPr>
              <w:t>30</w:t>
            </w:r>
            <w:r>
              <w:rPr>
                <w:rFonts w:hint="default" w:ascii="Times New Roman" w:hAnsi="Times New Roman" w:eastAsia="宋体" w:cs="Times New Roman"/>
                <w:i w:val="0"/>
                <w:iCs w:val="0"/>
                <w:color w:val="auto"/>
                <w:kern w:val="0"/>
                <w:sz w:val="24"/>
                <w:szCs w:val="24"/>
                <w:highlight w:val="none"/>
                <w:u w:val="none"/>
                <w:lang w:val="en-US" w:eastAsia="zh-CN" w:bidi="ar"/>
              </w:rPr>
              <w:t>mm</w:t>
            </w:r>
            <w:r>
              <w:rPr>
                <w:rFonts w:hint="default" w:ascii="Times New Roman" w:hAnsi="Times New Roman" w:cs="Times New Roman"/>
                <w:color w:val="auto"/>
                <w:kern w:val="24"/>
                <w:sz w:val="24"/>
              </w:rPr>
              <w:t>石子</w:t>
            </w:r>
            <w:r>
              <w:rPr>
                <w:rFonts w:hint="default" w:ascii="Times New Roman" w:hAnsi="Times New Roman" w:cs="Times New Roman"/>
                <w:color w:val="auto"/>
                <w:kern w:val="24"/>
                <w:sz w:val="24"/>
                <w:lang w:eastAsia="zh-CN"/>
              </w:rPr>
              <w:t>，</w:t>
            </w:r>
            <w:r>
              <w:rPr>
                <w:rFonts w:hint="default" w:ascii="Times New Roman" w:hAnsi="Times New Roman" w:cs="Times New Roman"/>
                <w:color w:val="auto"/>
                <w:sz w:val="24"/>
              </w:rPr>
              <w:t>生产规模为：</w:t>
            </w:r>
            <w:r>
              <w:rPr>
                <w:rFonts w:hint="default" w:ascii="Times New Roman" w:hAnsi="Times New Roman" w:cs="Times New Roman"/>
                <w:color w:val="auto"/>
                <w:kern w:val="24"/>
                <w:sz w:val="24"/>
              </w:rPr>
              <w:t>年生产</w:t>
            </w:r>
            <w:r>
              <w:rPr>
                <w:rFonts w:hint="default" w:ascii="Times New Roman" w:hAnsi="Times New Roman" w:cs="Times New Roman"/>
                <w:color w:val="auto"/>
                <w:kern w:val="24"/>
                <w:sz w:val="24"/>
                <w:lang w:eastAsia="zh-CN"/>
              </w:rPr>
              <w:t>砂子、</w:t>
            </w:r>
            <w:r>
              <w:rPr>
                <w:rFonts w:hint="default" w:ascii="Times New Roman" w:hAnsi="Times New Roman" w:cs="Times New Roman"/>
                <w:color w:val="auto"/>
                <w:kern w:val="24"/>
                <w:sz w:val="24"/>
              </w:rPr>
              <w:t>石子</w:t>
            </w:r>
            <w:r>
              <w:rPr>
                <w:rFonts w:hint="eastAsia" w:cs="Times New Roman"/>
                <w:color w:val="auto"/>
                <w:kern w:val="24"/>
                <w:sz w:val="24"/>
                <w:lang w:val="en-US" w:eastAsia="zh-CN"/>
              </w:rPr>
              <w:t>80</w:t>
            </w:r>
            <w:r>
              <w:rPr>
                <w:rFonts w:hint="default" w:ascii="Times New Roman" w:hAnsi="Times New Roman" w:cs="Times New Roman"/>
                <w:color w:val="auto"/>
                <w:kern w:val="24"/>
                <w:sz w:val="24"/>
              </w:rPr>
              <w:t>万</w:t>
            </w:r>
            <w:r>
              <w:rPr>
                <w:rFonts w:hint="eastAsia"/>
                <w:color w:val="auto"/>
                <w:lang w:eastAsia="zh-CN"/>
              </w:rPr>
              <w:t>吨。</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2" w:firstLineChars="200"/>
              <w:jc w:val="left"/>
              <w:textAlignment w:val="auto"/>
              <w:rPr>
                <w:rFonts w:hint="eastAsia"/>
                <w:b/>
                <w:bCs/>
                <w:sz w:val="24"/>
                <w:szCs w:val="24"/>
                <w:lang w:val="en-US" w:eastAsia="zh-CN"/>
              </w:rPr>
            </w:pPr>
            <w:r>
              <w:rPr>
                <w:rFonts w:hint="eastAsia"/>
                <w:b/>
                <w:bCs/>
                <w:sz w:val="24"/>
                <w:szCs w:val="24"/>
                <w:lang w:val="en-US" w:eastAsia="zh-CN"/>
              </w:rPr>
              <w:t>3、主要建构筑物</w:t>
            </w:r>
          </w:p>
          <w:p>
            <w:pPr>
              <w:pStyle w:val="5"/>
              <w:keepNext w:val="0"/>
              <w:keepLines w:val="0"/>
              <w:pageBreakBefore w:val="0"/>
              <w:widowControl w:val="0"/>
              <w:kinsoku/>
              <w:wordWrap/>
              <w:overflowPunct/>
              <w:topLinePunct w:val="0"/>
              <w:autoSpaceDE w:val="0"/>
              <w:autoSpaceDN w:val="0"/>
              <w:bidi w:val="0"/>
              <w:adjustRightInd w:val="0"/>
              <w:snapToGrid w:val="0"/>
              <w:spacing w:line="500" w:lineRule="exact"/>
              <w:ind w:firstLine="512" w:firstLineChars="200"/>
              <w:jc w:val="left"/>
              <w:textAlignment w:val="auto"/>
              <w:rPr>
                <w:rFonts w:hint="eastAsia" w:ascii="Times New Roman" w:hAnsi="Times New Roman" w:eastAsia="楷体_GB2312"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本项目总占地面积</w:t>
            </w:r>
            <w:r>
              <w:rPr>
                <w:rFonts w:hint="eastAsia"/>
                <w:color w:val="auto"/>
                <w:lang w:val="en-US" w:eastAsia="zh-CN"/>
              </w:rPr>
              <w:t>10000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highlight w:val="none"/>
                <w:lang w:val="en-US" w:eastAsia="zh-CN"/>
              </w:rPr>
              <w:t>总建筑面积</w:t>
            </w:r>
            <w:r>
              <w:rPr>
                <w:rFonts w:hint="eastAsia" w:eastAsia="宋体" w:cs="Times New Roman"/>
                <w:color w:val="auto"/>
                <w:sz w:val="24"/>
                <w:szCs w:val="24"/>
                <w:highlight w:val="none"/>
                <w:lang w:val="en-US" w:eastAsia="zh-CN"/>
              </w:rPr>
              <w:t>8500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lang w:val="en-US" w:eastAsia="zh-CN"/>
              </w:rPr>
              <w:t>，主要建（构）筑物一览表</w:t>
            </w:r>
            <w:r>
              <w:rPr>
                <w:rFonts w:hint="eastAsia" w:ascii="Times New Roman" w:hAnsi="Times New Roman" w:eastAsia="宋体" w:cs="Times New Roman"/>
                <w:color w:val="auto"/>
                <w:sz w:val="24"/>
                <w:szCs w:val="24"/>
                <w:lang w:val="en-US" w:eastAsia="zh-CN"/>
              </w:rPr>
              <w:t>见下表。</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2951" w:firstLineChars="1400"/>
              <w:jc w:val="both"/>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cs="Times New Roman"/>
                <w:b/>
                <w:bCs/>
                <w:color w:val="auto"/>
                <w:sz w:val="21"/>
                <w:szCs w:val="21"/>
                <w:lang w:val="en-US" w:eastAsia="zh-CN"/>
              </w:rPr>
              <w:t>2-2</w:t>
            </w:r>
            <w:r>
              <w:rPr>
                <w:rFonts w:hint="default" w:ascii="Times New Roman" w:hAnsi="Times New Roman" w:cs="Times New Roman"/>
                <w:b/>
                <w:bCs/>
                <w:color w:val="auto"/>
                <w:sz w:val="21"/>
                <w:szCs w:val="21"/>
              </w:rPr>
              <w:t>主要建（构）筑物一览表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1727"/>
              <w:gridCol w:w="1500"/>
              <w:gridCol w:w="1380"/>
              <w:gridCol w:w="2110"/>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1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序号</w:t>
                  </w:r>
                </w:p>
              </w:tc>
              <w:tc>
                <w:tcPr>
                  <w:tcW w:w="172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名称</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占地面积</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建筑面积</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结构形式</w:t>
                  </w:r>
                </w:p>
              </w:tc>
              <w:tc>
                <w:tcPr>
                  <w:tcW w:w="8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1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1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封闭式生产车间</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eastAsiaTheme="minorEastAsia"/>
                      <w:color w:val="auto"/>
                      <w:sz w:val="21"/>
                      <w:szCs w:val="21"/>
                      <w:highlight w:val="none"/>
                      <w:lang w:val="en-US" w:eastAsia="zh-CN"/>
                    </w:rPr>
                    <w:t>2000</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eastAsiaTheme="minorEastAsia"/>
                      <w:color w:val="auto"/>
                      <w:sz w:val="21"/>
                      <w:szCs w:val="21"/>
                      <w:highlight w:val="none"/>
                      <w:lang w:val="en-US" w:eastAsia="zh-CN"/>
                    </w:rPr>
                    <w:t>2000</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高</w:t>
                  </w:r>
                  <w:r>
                    <w:rPr>
                      <w:rFonts w:hint="eastAsia" w:cs="Times New Roman"/>
                      <w:color w:val="auto"/>
                      <w:sz w:val="21"/>
                      <w:szCs w:val="21"/>
                      <w:highlight w:val="none"/>
                      <w:lang w:val="en-US" w:eastAsia="zh-CN"/>
                    </w:rPr>
                    <w:t>14.5m，</w:t>
                  </w:r>
                  <w:r>
                    <w:rPr>
                      <w:rFonts w:hint="eastAsia" w:cs="Times New Roman"/>
                      <w:color w:val="auto"/>
                      <w:sz w:val="21"/>
                      <w:szCs w:val="21"/>
                      <w:highlight w:val="none"/>
                      <w:lang w:eastAsia="zh-CN"/>
                    </w:rPr>
                    <w:t>钢结构</w:t>
                  </w:r>
                </w:p>
              </w:tc>
              <w:tc>
                <w:tcPr>
                  <w:tcW w:w="8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lang w:eastAsia="zh-CN"/>
                    </w:rPr>
                  </w:pPr>
                  <w:r>
                    <w:rPr>
                      <w:rFonts w:hint="eastAsia" w:cs="Times New Roman"/>
                      <w:sz w:val="21"/>
                      <w:szCs w:val="21"/>
                      <w:lang w:eastAsia="zh-CN"/>
                    </w:rPr>
                    <w:t>已</w:t>
                  </w:r>
                  <w:r>
                    <w:rPr>
                      <w:rFonts w:hint="eastAsia" w:cs="Times New Roman"/>
                      <w:sz w:val="21"/>
                      <w:szCs w:val="21"/>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1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1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原料库</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2500</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2500</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高</w:t>
                  </w:r>
                  <w:r>
                    <w:rPr>
                      <w:rFonts w:hint="eastAsia" w:cs="Times New Roman"/>
                      <w:color w:val="auto"/>
                      <w:sz w:val="21"/>
                      <w:szCs w:val="21"/>
                      <w:highlight w:val="none"/>
                      <w:lang w:val="en-US" w:eastAsia="zh-CN"/>
                    </w:rPr>
                    <w:t>14.5m，</w:t>
                  </w:r>
                  <w:r>
                    <w:rPr>
                      <w:rFonts w:hint="eastAsia" w:cs="Times New Roman"/>
                      <w:color w:val="auto"/>
                      <w:sz w:val="21"/>
                      <w:szCs w:val="21"/>
                      <w:highlight w:val="none"/>
                      <w:lang w:eastAsia="zh-CN"/>
                    </w:rPr>
                    <w:t>钢结构</w:t>
                  </w:r>
                </w:p>
              </w:tc>
              <w:tc>
                <w:tcPr>
                  <w:tcW w:w="8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lang w:eastAsia="zh-CN"/>
                    </w:rPr>
                  </w:pPr>
                  <w:r>
                    <w:rPr>
                      <w:rFonts w:hint="eastAsia" w:cs="Times New Roman"/>
                      <w:sz w:val="21"/>
                      <w:szCs w:val="21"/>
                      <w:lang w:eastAsia="zh-CN"/>
                    </w:rPr>
                    <w:t>新</w:t>
                  </w:r>
                  <w:r>
                    <w:rPr>
                      <w:rFonts w:hint="eastAsia" w:cs="Times New Roman"/>
                      <w:sz w:val="21"/>
                      <w:szCs w:val="21"/>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FF"/>
                      <w:sz w:val="21"/>
                      <w:szCs w:val="21"/>
                      <w:lang w:val="en-US" w:eastAsia="zh-CN" w:bidi="zh-CN"/>
                    </w:rPr>
                  </w:pPr>
                  <w:r>
                    <w:rPr>
                      <w:rFonts w:hint="default" w:ascii="Times New Roman" w:hAnsi="Times New Roman" w:cs="Times New Roman" w:eastAsiaTheme="minorEastAsia"/>
                      <w:color w:val="auto"/>
                      <w:sz w:val="21"/>
                      <w:szCs w:val="21"/>
                      <w:lang w:val="en-US" w:eastAsia="zh-CN" w:bidi="zh-CN"/>
                    </w:rPr>
                    <w:t>3</w:t>
                  </w:r>
                </w:p>
              </w:tc>
              <w:tc>
                <w:tcPr>
                  <w:tcW w:w="1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eastAsia" w:asciiTheme="minorEastAsia" w:hAnsiTheme="minorEastAsia" w:eastAsiaTheme="minorEastAsia" w:cstheme="minorEastAsia"/>
                      <w:color w:val="auto"/>
                      <w:sz w:val="21"/>
                      <w:szCs w:val="21"/>
                      <w:highlight w:val="none"/>
                      <w:lang w:val="en-US" w:eastAsia="zh-CN"/>
                    </w:rPr>
                    <w:t>成品库存车间</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eastAsiaTheme="minorEastAsia"/>
                      <w:color w:val="auto"/>
                      <w:sz w:val="21"/>
                      <w:szCs w:val="21"/>
                      <w:highlight w:val="none"/>
                      <w:lang w:val="en-US" w:eastAsia="zh-CN" w:bidi="zh-CN"/>
                    </w:rPr>
                    <w:t>3000</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eastAsiaTheme="minorEastAsia"/>
                      <w:color w:val="auto"/>
                      <w:sz w:val="21"/>
                      <w:szCs w:val="21"/>
                      <w:highlight w:val="none"/>
                      <w:lang w:val="en-US" w:eastAsia="zh-CN" w:bidi="zh-CN"/>
                    </w:rPr>
                    <w:t>3000</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cs="Times New Roman"/>
                      <w:color w:val="auto"/>
                      <w:sz w:val="21"/>
                      <w:szCs w:val="21"/>
                      <w:highlight w:val="none"/>
                      <w:lang w:eastAsia="zh-CN"/>
                    </w:rPr>
                    <w:t>高</w:t>
                  </w:r>
                  <w:r>
                    <w:rPr>
                      <w:rFonts w:hint="eastAsia" w:cs="Times New Roman"/>
                      <w:color w:val="auto"/>
                      <w:sz w:val="21"/>
                      <w:szCs w:val="21"/>
                      <w:highlight w:val="none"/>
                      <w:lang w:val="en-US" w:eastAsia="zh-CN"/>
                    </w:rPr>
                    <w:t>14.5m，</w:t>
                  </w:r>
                  <w:r>
                    <w:rPr>
                      <w:rFonts w:hint="eastAsia" w:cs="Times New Roman"/>
                      <w:color w:val="auto"/>
                      <w:sz w:val="21"/>
                      <w:szCs w:val="21"/>
                      <w:highlight w:val="none"/>
                      <w:lang w:eastAsia="zh-CN"/>
                    </w:rPr>
                    <w:t>钢结构</w:t>
                  </w:r>
                </w:p>
              </w:tc>
              <w:tc>
                <w:tcPr>
                  <w:tcW w:w="8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zh-CN" w:eastAsia="zh-CN" w:bidi="zh-CN"/>
                    </w:rPr>
                  </w:pPr>
                  <w:r>
                    <w:rPr>
                      <w:rFonts w:hint="eastAsia" w:cs="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1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1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cs="Times New Roman"/>
                      <w:color w:val="auto"/>
                      <w:sz w:val="21"/>
                      <w:szCs w:val="21"/>
                      <w:lang w:eastAsia="zh-CN"/>
                    </w:rPr>
                  </w:pPr>
                  <w:r>
                    <w:rPr>
                      <w:rFonts w:hint="eastAsia" w:asciiTheme="minorEastAsia" w:hAnsiTheme="minorEastAsia" w:eastAsiaTheme="minorEastAsia" w:cstheme="minorEastAsia"/>
                      <w:color w:val="auto"/>
                      <w:sz w:val="21"/>
                      <w:szCs w:val="21"/>
                      <w:lang w:eastAsia="zh-CN"/>
                    </w:rPr>
                    <w:t>办公</w:t>
                  </w:r>
                  <w:r>
                    <w:rPr>
                      <w:rFonts w:hint="eastAsia" w:asciiTheme="minorEastAsia" w:hAnsiTheme="minorEastAsia" w:eastAsiaTheme="minorEastAsia" w:cstheme="minorEastAsia"/>
                      <w:color w:val="auto"/>
                      <w:sz w:val="21"/>
                      <w:szCs w:val="21"/>
                      <w:lang w:val="en-US" w:eastAsia="zh-CN"/>
                    </w:rPr>
                    <w:t>生活区</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bidi="zh-CN"/>
                    </w:rPr>
                  </w:pPr>
                  <w:r>
                    <w:rPr>
                      <w:rFonts w:hint="eastAsia" w:cs="Times New Roman" w:eastAsiaTheme="minorEastAsia"/>
                      <w:color w:val="auto"/>
                      <w:sz w:val="21"/>
                      <w:szCs w:val="21"/>
                      <w:lang w:val="en-US" w:eastAsia="zh-CN" w:bidi="zh-CN"/>
                    </w:rPr>
                    <w:t>980</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bidi="zh-CN"/>
                    </w:rPr>
                  </w:pPr>
                  <w:r>
                    <w:rPr>
                      <w:rFonts w:hint="eastAsia" w:cs="Times New Roman" w:eastAsiaTheme="minorEastAsia"/>
                      <w:color w:val="auto"/>
                      <w:sz w:val="21"/>
                      <w:szCs w:val="21"/>
                      <w:lang w:val="en-US" w:eastAsia="zh-CN" w:bidi="zh-CN"/>
                    </w:rPr>
                    <w:t>980</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cs="Times New Roman"/>
                      <w:color w:val="auto"/>
                      <w:sz w:val="21"/>
                      <w:szCs w:val="21"/>
                      <w:lang w:val="en-US" w:eastAsia="zh-CN" w:bidi="zh-CN"/>
                    </w:rPr>
                  </w:pPr>
                  <w:r>
                    <w:rPr>
                      <w:rFonts w:hint="eastAsia" w:cs="Times New Roman"/>
                      <w:color w:val="auto"/>
                      <w:sz w:val="21"/>
                      <w:szCs w:val="21"/>
                      <w:highlight w:val="none"/>
                      <w:lang w:eastAsia="zh-CN"/>
                    </w:rPr>
                    <w:t>高</w:t>
                  </w:r>
                  <w:r>
                    <w:rPr>
                      <w:rFonts w:hint="eastAsia" w:cs="Times New Roman"/>
                      <w:color w:val="auto"/>
                      <w:sz w:val="21"/>
                      <w:szCs w:val="21"/>
                      <w:highlight w:val="none"/>
                      <w:lang w:val="en-US" w:eastAsia="zh-CN"/>
                    </w:rPr>
                    <w:t>2.6m，</w:t>
                  </w:r>
                  <w:r>
                    <w:rPr>
                      <w:rFonts w:hint="eastAsia" w:cs="Times New Roman"/>
                      <w:color w:val="auto"/>
                      <w:sz w:val="21"/>
                      <w:szCs w:val="21"/>
                      <w:lang w:val="en-US" w:eastAsia="zh-CN" w:bidi="zh-CN"/>
                    </w:rPr>
                    <w:t>钢结构</w:t>
                  </w:r>
                </w:p>
              </w:tc>
              <w:tc>
                <w:tcPr>
                  <w:tcW w:w="8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1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FF"/>
                      <w:sz w:val="21"/>
                      <w:szCs w:val="21"/>
                      <w:lang w:val="en-US" w:eastAsia="zh-CN" w:bidi="zh-CN"/>
                    </w:rPr>
                  </w:pPr>
                  <w:r>
                    <w:rPr>
                      <w:rFonts w:hint="default" w:ascii="Times New Roman" w:hAnsi="Times New Roman" w:cs="Times New Roman" w:eastAsiaTheme="minorEastAsia"/>
                      <w:color w:val="auto"/>
                      <w:sz w:val="21"/>
                      <w:szCs w:val="21"/>
                      <w:lang w:val="en-US" w:eastAsia="zh-CN"/>
                    </w:rPr>
                    <w:t>5</w:t>
                  </w:r>
                </w:p>
              </w:tc>
              <w:tc>
                <w:tcPr>
                  <w:tcW w:w="1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zh-CN" w:eastAsia="zh-CN" w:bidi="zh-CN"/>
                    </w:rPr>
                  </w:pPr>
                  <w:r>
                    <w:rPr>
                      <w:rFonts w:hint="eastAsia" w:asciiTheme="minorEastAsia" w:hAnsiTheme="minorEastAsia" w:eastAsiaTheme="minorEastAsia" w:cstheme="minorEastAsia"/>
                      <w:color w:val="auto"/>
                      <w:sz w:val="21"/>
                      <w:szCs w:val="21"/>
                      <w:lang w:eastAsia="zh-CN"/>
                    </w:rPr>
                    <w:t>危险废物贮存间</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bidi="zh-CN"/>
                    </w:rPr>
                    <w:t>20</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bidi="zh-CN"/>
                    </w:rPr>
                    <w:t>20</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zh-CN" w:eastAsia="zh-CN" w:bidi="zh-CN"/>
                    </w:rPr>
                  </w:pPr>
                  <w:r>
                    <w:rPr>
                      <w:rFonts w:hint="eastAsia" w:cs="Times New Roman"/>
                      <w:color w:val="auto"/>
                      <w:sz w:val="21"/>
                      <w:szCs w:val="21"/>
                      <w:lang w:val="en-US" w:eastAsia="zh-CN" w:bidi="zh-CN"/>
                    </w:rPr>
                    <w:t>高2.4m，钢结构</w:t>
                  </w:r>
                </w:p>
              </w:tc>
              <w:tc>
                <w:tcPr>
                  <w:tcW w:w="8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zh-CN" w:eastAsia="zh-CN" w:bidi="zh-CN"/>
                    </w:rPr>
                  </w:pPr>
                  <w:r>
                    <w:rPr>
                      <w:rFonts w:hint="eastAsia" w:cs="Times New Roman"/>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1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eastAsiaTheme="minorEastAsia"/>
                      <w:color w:val="auto"/>
                      <w:sz w:val="21"/>
                      <w:szCs w:val="21"/>
                      <w:lang w:val="en-US" w:eastAsia="zh-CN"/>
                    </w:rPr>
                    <w:t>6</w:t>
                  </w:r>
                </w:p>
              </w:tc>
              <w:tc>
                <w:tcPr>
                  <w:tcW w:w="1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cs="Times New Roman"/>
                      <w:color w:val="auto"/>
                      <w:sz w:val="21"/>
                      <w:szCs w:val="21"/>
                      <w:lang w:eastAsia="zh-CN"/>
                    </w:rPr>
                  </w:pPr>
                  <w:r>
                    <w:rPr>
                      <w:rFonts w:hint="eastAsia" w:asciiTheme="minorEastAsia" w:hAnsiTheme="minorEastAsia" w:eastAsiaTheme="minorEastAsia" w:cstheme="minorEastAsia"/>
                      <w:color w:val="auto"/>
                      <w:sz w:val="21"/>
                      <w:szCs w:val="21"/>
                      <w:highlight w:val="none"/>
                      <w:lang w:val="en-US" w:eastAsia="zh-CN"/>
                    </w:rPr>
                    <w:t>三级沉淀池</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bidi="zh-CN"/>
                    </w:rPr>
                    <w:t>50</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lang w:val="en-US" w:eastAsia="zh-CN" w:bidi="zh-CN"/>
                    </w:rPr>
                  </w:pPr>
                  <w:r>
                    <w:rPr>
                      <w:rFonts w:hint="default" w:ascii="Times New Roman" w:hAnsi="Times New Roman" w:cs="Times New Roman" w:eastAsiaTheme="minorEastAsia"/>
                      <w:color w:val="auto"/>
                      <w:sz w:val="21"/>
                      <w:szCs w:val="21"/>
                      <w:lang w:val="en-US" w:eastAsia="zh-CN" w:bidi="zh-CN"/>
                    </w:rPr>
                    <w:t>-</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cs="Times New Roman"/>
                      <w:color w:val="auto"/>
                      <w:sz w:val="21"/>
                      <w:szCs w:val="21"/>
                      <w:lang w:val="en-US" w:eastAsia="zh-CN" w:bidi="zh-CN"/>
                    </w:rPr>
                  </w:pPr>
                  <w:r>
                    <w:rPr>
                      <w:rFonts w:hint="eastAsia" w:cs="Times New Roman"/>
                      <w:color w:val="auto"/>
                      <w:sz w:val="21"/>
                      <w:szCs w:val="21"/>
                      <w:lang w:val="en-US" w:eastAsia="zh-CN" w:bidi="zh-CN"/>
                    </w:rPr>
                    <w:t>深2m，混凝土结构</w:t>
                  </w:r>
                </w:p>
              </w:tc>
              <w:tc>
                <w:tcPr>
                  <w:tcW w:w="8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新建</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2" w:firstLineChars="200"/>
              <w:jc w:val="left"/>
              <w:textAlignment w:val="auto"/>
              <w:rPr>
                <w:rFonts w:hint="default"/>
                <w:b/>
                <w:bCs/>
                <w:sz w:val="24"/>
                <w:szCs w:val="24"/>
                <w:lang w:val="en-US" w:eastAsia="zh-CN"/>
              </w:rPr>
            </w:pPr>
            <w:r>
              <w:rPr>
                <w:rFonts w:hint="eastAsia"/>
                <w:b/>
                <w:bCs/>
                <w:sz w:val="24"/>
                <w:szCs w:val="24"/>
                <w:lang w:val="en-US" w:eastAsia="zh-CN"/>
              </w:rPr>
              <w:t>4、主要原辅材料及能源消耗见表2-3，主要生产设备见表2-4</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9"/>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表</w:t>
            </w:r>
            <w:r>
              <w:rPr>
                <w:rFonts w:hint="eastAsia" w:eastAsia="宋体" w:cs="Times New Roman"/>
                <w:b/>
                <w:kern w:val="0"/>
                <w:sz w:val="21"/>
                <w:szCs w:val="21"/>
                <w:lang w:val="en-US" w:eastAsia="zh-CN"/>
              </w:rPr>
              <w:t>2-3</w:t>
            </w:r>
            <w:r>
              <w:rPr>
                <w:rFonts w:hint="default" w:ascii="Times New Roman" w:hAnsi="Times New Roman" w:eastAsia="宋体" w:cs="Times New Roman"/>
                <w:b/>
                <w:kern w:val="0"/>
                <w:sz w:val="21"/>
                <w:szCs w:val="21"/>
              </w:rPr>
              <w:t>主要能源消耗</w:t>
            </w:r>
          </w:p>
          <w:tbl>
            <w:tblPr>
              <w:tblStyle w:val="15"/>
              <w:tblW w:w="8157" w:type="dxa"/>
              <w:jc w:val="center"/>
              <w:tblLayout w:type="autofit"/>
              <w:tblCellMar>
                <w:top w:w="0" w:type="dxa"/>
                <w:left w:w="0" w:type="dxa"/>
                <w:bottom w:w="0" w:type="dxa"/>
                <w:right w:w="0" w:type="dxa"/>
              </w:tblCellMar>
            </w:tblPr>
            <w:tblGrid>
              <w:gridCol w:w="635"/>
              <w:gridCol w:w="1340"/>
              <w:gridCol w:w="1400"/>
              <w:gridCol w:w="1275"/>
              <w:gridCol w:w="3507"/>
            </w:tblGrid>
            <w:tr>
              <w:tblPrEx>
                <w:tblCellMar>
                  <w:top w:w="0" w:type="dxa"/>
                  <w:left w:w="0" w:type="dxa"/>
                  <w:bottom w:w="0" w:type="dxa"/>
                  <w:right w:w="0" w:type="dxa"/>
                </w:tblCellMar>
              </w:tblPrEx>
              <w:trPr>
                <w:trHeight w:val="340" w:hRule="atLeast"/>
                <w:jc w:val="center"/>
              </w:trPr>
              <w:tc>
                <w:tcPr>
                  <w:tcW w:w="3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color w:val="auto"/>
                      <w:kern w:val="0"/>
                      <w:sz w:val="21"/>
                      <w:szCs w:val="21"/>
                    </w:rPr>
                  </w:pPr>
                  <w:r>
                    <w:rPr>
                      <w:color w:val="auto"/>
                      <w:kern w:val="0"/>
                      <w:sz w:val="21"/>
                      <w:szCs w:val="21"/>
                    </w:rPr>
                    <w:t>序号</w:t>
                  </w:r>
                </w:p>
              </w:tc>
              <w:tc>
                <w:tcPr>
                  <w:tcW w:w="82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color w:val="auto"/>
                      <w:kern w:val="0"/>
                      <w:sz w:val="21"/>
                      <w:szCs w:val="21"/>
                    </w:rPr>
                  </w:pPr>
                  <w:r>
                    <w:rPr>
                      <w:color w:val="auto"/>
                      <w:kern w:val="0"/>
                      <w:sz w:val="21"/>
                      <w:szCs w:val="21"/>
                    </w:rPr>
                    <w:t>名称</w:t>
                  </w:r>
                </w:p>
              </w:tc>
              <w:tc>
                <w:tcPr>
                  <w:tcW w:w="85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color w:val="auto"/>
                      <w:kern w:val="0"/>
                      <w:sz w:val="21"/>
                      <w:szCs w:val="21"/>
                    </w:rPr>
                  </w:pPr>
                  <w:r>
                    <w:rPr>
                      <w:color w:val="auto"/>
                      <w:kern w:val="0"/>
                      <w:sz w:val="21"/>
                      <w:szCs w:val="21"/>
                    </w:rPr>
                    <w:t>单位</w:t>
                  </w:r>
                </w:p>
              </w:tc>
              <w:tc>
                <w:tcPr>
                  <w:tcW w:w="78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color w:val="auto"/>
                      <w:kern w:val="0"/>
                      <w:sz w:val="21"/>
                      <w:szCs w:val="21"/>
                    </w:rPr>
                  </w:pPr>
                  <w:r>
                    <w:rPr>
                      <w:color w:val="auto"/>
                      <w:kern w:val="0"/>
                      <w:sz w:val="21"/>
                      <w:szCs w:val="21"/>
                    </w:rPr>
                    <w:t>消耗量</w:t>
                  </w:r>
                </w:p>
              </w:tc>
              <w:tc>
                <w:tcPr>
                  <w:tcW w:w="214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color w:val="auto"/>
                      <w:kern w:val="0"/>
                      <w:sz w:val="21"/>
                      <w:szCs w:val="21"/>
                    </w:rPr>
                  </w:pPr>
                  <w:r>
                    <w:rPr>
                      <w:color w:val="auto"/>
                      <w:kern w:val="0"/>
                      <w:sz w:val="21"/>
                      <w:szCs w:val="21"/>
                    </w:rPr>
                    <w:t>备注</w:t>
                  </w:r>
                </w:p>
              </w:tc>
            </w:tr>
            <w:tr>
              <w:tblPrEx>
                <w:tblCellMar>
                  <w:top w:w="0" w:type="dxa"/>
                  <w:left w:w="0" w:type="dxa"/>
                  <w:bottom w:w="0" w:type="dxa"/>
                  <w:right w:w="0" w:type="dxa"/>
                </w:tblCellMar>
              </w:tblPrEx>
              <w:trPr>
                <w:trHeight w:val="551" w:hRule="atLeast"/>
                <w:jc w:val="center"/>
              </w:trPr>
              <w:tc>
                <w:tcPr>
                  <w:tcW w:w="3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color w:val="auto"/>
                      <w:kern w:val="0"/>
                      <w:sz w:val="21"/>
                      <w:szCs w:val="21"/>
                    </w:rPr>
                  </w:pPr>
                  <w:r>
                    <w:rPr>
                      <w:color w:val="auto"/>
                      <w:kern w:val="0"/>
                      <w:sz w:val="21"/>
                      <w:szCs w:val="21"/>
                    </w:rPr>
                    <w:t>1</w:t>
                  </w:r>
                </w:p>
              </w:tc>
              <w:tc>
                <w:tcPr>
                  <w:tcW w:w="82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隧道弃渣</w:t>
                  </w:r>
                </w:p>
              </w:tc>
              <w:tc>
                <w:tcPr>
                  <w:tcW w:w="85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eastAsia="zh-CN"/>
                    </w:rPr>
                    <w:t>万</w:t>
                  </w:r>
                  <w:r>
                    <w:rPr>
                      <w:rFonts w:hint="eastAsia"/>
                      <w:color w:val="auto"/>
                      <w:kern w:val="0"/>
                      <w:sz w:val="21"/>
                      <w:szCs w:val="21"/>
                    </w:rPr>
                    <w:t>吨</w:t>
                  </w:r>
                </w:p>
              </w:tc>
              <w:tc>
                <w:tcPr>
                  <w:tcW w:w="78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80.062</w:t>
                  </w:r>
                </w:p>
              </w:tc>
              <w:tc>
                <w:tcPr>
                  <w:tcW w:w="214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olor w:val="auto"/>
                      <w:kern w:val="0"/>
                      <w:sz w:val="21"/>
                      <w:szCs w:val="21"/>
                      <w:lang w:eastAsia="zh-CN"/>
                    </w:rPr>
                  </w:pPr>
                  <w:r>
                    <w:rPr>
                      <w:rFonts w:hint="eastAsia"/>
                      <w:color w:val="auto"/>
                      <w:kern w:val="0"/>
                      <w:sz w:val="21"/>
                      <w:szCs w:val="21"/>
                      <w:lang w:eastAsia="zh-CN"/>
                    </w:rPr>
                    <w:t>以承平高速李家营路基弃渣为原材料</w:t>
                  </w:r>
                </w:p>
              </w:tc>
            </w:tr>
            <w:tr>
              <w:tblPrEx>
                <w:tblCellMar>
                  <w:top w:w="0" w:type="dxa"/>
                  <w:left w:w="0" w:type="dxa"/>
                  <w:bottom w:w="0" w:type="dxa"/>
                  <w:right w:w="0" w:type="dxa"/>
                </w:tblCellMar>
              </w:tblPrEx>
              <w:trPr>
                <w:trHeight w:val="317" w:hRule="atLeast"/>
                <w:jc w:val="center"/>
              </w:trPr>
              <w:tc>
                <w:tcPr>
                  <w:tcW w:w="3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olor w:val="auto"/>
                      <w:kern w:val="0"/>
                      <w:sz w:val="21"/>
                      <w:szCs w:val="21"/>
                    </w:rPr>
                  </w:pPr>
                  <w:r>
                    <w:rPr>
                      <w:rFonts w:hint="eastAsia"/>
                      <w:color w:val="auto"/>
                      <w:kern w:val="0"/>
                      <w:sz w:val="21"/>
                      <w:szCs w:val="21"/>
                    </w:rPr>
                    <w:t>2</w:t>
                  </w:r>
                </w:p>
              </w:tc>
              <w:tc>
                <w:tcPr>
                  <w:tcW w:w="82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kern w:val="0"/>
                      <w:sz w:val="21"/>
                      <w:szCs w:val="21"/>
                      <w:lang w:val="en-US" w:eastAsia="zh-CN" w:bidi="ar-SA"/>
                    </w:rPr>
                  </w:pPr>
                  <w:r>
                    <w:rPr>
                      <w:color w:val="auto"/>
                      <w:kern w:val="0"/>
                      <w:sz w:val="21"/>
                      <w:szCs w:val="21"/>
                    </w:rPr>
                    <w:t>电</w:t>
                  </w:r>
                </w:p>
              </w:tc>
              <w:tc>
                <w:tcPr>
                  <w:tcW w:w="85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kern w:val="0"/>
                      <w:sz w:val="21"/>
                      <w:szCs w:val="21"/>
                      <w:lang w:val="en-US" w:eastAsia="zh-CN" w:bidi="ar-SA"/>
                    </w:rPr>
                  </w:pPr>
                  <w:r>
                    <w:rPr>
                      <w:rFonts w:hint="eastAsia"/>
                      <w:color w:val="auto"/>
                      <w:kern w:val="0"/>
                      <w:sz w:val="21"/>
                      <w:szCs w:val="21"/>
                    </w:rPr>
                    <w:t>万kwh/a</w:t>
                  </w:r>
                </w:p>
              </w:tc>
              <w:tc>
                <w:tcPr>
                  <w:tcW w:w="78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kern w:val="0"/>
                      <w:sz w:val="21"/>
                      <w:szCs w:val="21"/>
                      <w:lang w:val="en-US" w:eastAsia="zh-CN" w:bidi="ar-SA"/>
                    </w:rPr>
                  </w:pPr>
                  <w:r>
                    <w:rPr>
                      <w:rFonts w:hint="eastAsia"/>
                      <w:color w:val="auto"/>
                      <w:kern w:val="0"/>
                      <w:sz w:val="21"/>
                      <w:szCs w:val="21"/>
                      <w:lang w:val="en-US" w:eastAsia="zh-CN"/>
                    </w:rPr>
                    <w:t>80</w:t>
                  </w:r>
                </w:p>
              </w:tc>
              <w:tc>
                <w:tcPr>
                  <w:tcW w:w="214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kern w:val="0"/>
                      <w:sz w:val="21"/>
                      <w:szCs w:val="21"/>
                      <w:lang w:val="en-US" w:eastAsia="zh-CN" w:bidi="ar-SA"/>
                    </w:rPr>
                  </w:pPr>
                  <w:r>
                    <w:rPr>
                      <w:rFonts w:hint="eastAsia" w:ascii="Times New Roman" w:hAnsi="Times New Roman" w:cs="Times New Roman"/>
                      <w:color w:val="auto"/>
                      <w:sz w:val="21"/>
                      <w:szCs w:val="21"/>
                      <w:lang w:eastAsia="zh-CN"/>
                    </w:rPr>
                    <w:t>自备变压器，</w:t>
                  </w:r>
                  <w:r>
                    <w:rPr>
                      <w:rFonts w:hint="eastAsia" w:cs="Times New Roman"/>
                      <w:color w:val="auto"/>
                      <w:sz w:val="21"/>
                      <w:szCs w:val="21"/>
                      <w:lang w:eastAsia="zh-CN"/>
                    </w:rPr>
                    <w:t>接入</w:t>
                  </w:r>
                  <w:r>
                    <w:rPr>
                      <w:rFonts w:hint="eastAsia" w:cs="Times New Roman"/>
                      <w:color w:val="auto"/>
                      <w:sz w:val="21"/>
                      <w:szCs w:val="21"/>
                      <w:lang w:val="en-US" w:eastAsia="zh-CN"/>
                    </w:rPr>
                    <w:t>本地</w:t>
                  </w:r>
                  <w:r>
                    <w:rPr>
                      <w:rFonts w:hint="eastAsia" w:ascii="Times New Roman" w:hAnsi="Times New Roman" w:cs="Times New Roman"/>
                      <w:color w:val="auto"/>
                      <w:sz w:val="21"/>
                      <w:szCs w:val="21"/>
                      <w:lang w:eastAsia="zh-CN"/>
                    </w:rPr>
                    <w:t>电网</w:t>
                  </w:r>
                </w:p>
              </w:tc>
            </w:tr>
            <w:tr>
              <w:tblPrEx>
                <w:tblCellMar>
                  <w:top w:w="0" w:type="dxa"/>
                  <w:left w:w="0" w:type="dxa"/>
                  <w:bottom w:w="0" w:type="dxa"/>
                  <w:right w:w="0" w:type="dxa"/>
                </w:tblCellMar>
              </w:tblPrEx>
              <w:trPr>
                <w:trHeight w:val="336" w:hRule="atLeast"/>
                <w:jc w:val="center"/>
              </w:trPr>
              <w:tc>
                <w:tcPr>
                  <w:tcW w:w="3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olor w:val="0000FF"/>
                      <w:kern w:val="0"/>
                      <w:sz w:val="21"/>
                      <w:szCs w:val="21"/>
                    </w:rPr>
                  </w:pPr>
                  <w:r>
                    <w:rPr>
                      <w:rFonts w:hint="eastAsia"/>
                      <w:color w:val="auto"/>
                      <w:kern w:val="0"/>
                      <w:sz w:val="21"/>
                      <w:szCs w:val="21"/>
                    </w:rPr>
                    <w:t>3</w:t>
                  </w:r>
                </w:p>
              </w:tc>
              <w:tc>
                <w:tcPr>
                  <w:tcW w:w="82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kern w:val="0"/>
                      <w:sz w:val="21"/>
                      <w:szCs w:val="21"/>
                      <w:lang w:val="en-US" w:eastAsia="zh-CN" w:bidi="ar-SA"/>
                    </w:rPr>
                  </w:pPr>
                  <w:r>
                    <w:rPr>
                      <w:rFonts w:hint="eastAsia"/>
                      <w:color w:val="auto"/>
                      <w:kern w:val="0"/>
                      <w:sz w:val="21"/>
                      <w:szCs w:val="21"/>
                    </w:rPr>
                    <w:t>新水</w:t>
                  </w:r>
                </w:p>
              </w:tc>
              <w:tc>
                <w:tcPr>
                  <w:tcW w:w="85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kern w:val="0"/>
                      <w:sz w:val="21"/>
                      <w:szCs w:val="21"/>
                      <w:lang w:val="en-US" w:eastAsia="zh-CN" w:bidi="ar-SA"/>
                    </w:rPr>
                  </w:pPr>
                  <w:r>
                    <w:rPr>
                      <w:rFonts w:hint="eastAsia"/>
                      <w:color w:val="auto"/>
                      <w:kern w:val="0"/>
                      <w:sz w:val="21"/>
                      <w:szCs w:val="21"/>
                      <w:lang w:val="en-US" w:eastAsia="zh-CN"/>
                    </w:rPr>
                    <w:t>m</w:t>
                  </w:r>
                  <w:r>
                    <w:rPr>
                      <w:rFonts w:hint="eastAsia"/>
                      <w:color w:val="auto"/>
                      <w:kern w:val="0"/>
                      <w:sz w:val="21"/>
                      <w:szCs w:val="21"/>
                      <w:vertAlign w:val="superscript"/>
                      <w:lang w:val="en-US" w:eastAsia="zh-CN"/>
                    </w:rPr>
                    <w:t>3</w:t>
                  </w:r>
                  <w:r>
                    <w:rPr>
                      <w:rFonts w:hint="eastAsia"/>
                      <w:color w:val="auto"/>
                      <w:kern w:val="0"/>
                      <w:sz w:val="21"/>
                      <w:szCs w:val="21"/>
                    </w:rPr>
                    <w:t>/a</w:t>
                  </w:r>
                </w:p>
              </w:tc>
              <w:tc>
                <w:tcPr>
                  <w:tcW w:w="78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kern w:val="0"/>
                      <w:sz w:val="21"/>
                      <w:szCs w:val="21"/>
                      <w:lang w:val="en-US" w:eastAsia="zh-CN" w:bidi="ar-SA"/>
                    </w:rPr>
                  </w:pPr>
                  <w:r>
                    <w:rPr>
                      <w:rFonts w:hint="eastAsia"/>
                      <w:color w:val="auto"/>
                      <w:kern w:val="0"/>
                      <w:sz w:val="21"/>
                      <w:szCs w:val="21"/>
                      <w:lang w:val="en-US" w:eastAsia="zh-CN"/>
                    </w:rPr>
                    <w:t>420</w:t>
                  </w:r>
                </w:p>
              </w:tc>
              <w:tc>
                <w:tcPr>
                  <w:tcW w:w="214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kern w:val="0"/>
                      <w:sz w:val="21"/>
                      <w:szCs w:val="21"/>
                      <w:lang w:val="en-US" w:eastAsia="zh-CN" w:bidi="ar-SA"/>
                    </w:rPr>
                  </w:pPr>
                  <w:r>
                    <w:rPr>
                      <w:rFonts w:hint="eastAsia"/>
                      <w:color w:val="auto"/>
                      <w:kern w:val="0"/>
                      <w:sz w:val="21"/>
                      <w:szCs w:val="21"/>
                      <w:lang w:eastAsia="zh-CN"/>
                    </w:rPr>
                    <w:t>自备水井</w:t>
                  </w:r>
                </w:p>
              </w:tc>
            </w:tr>
            <w:tr>
              <w:tblPrEx>
                <w:tblCellMar>
                  <w:top w:w="0" w:type="dxa"/>
                  <w:left w:w="0" w:type="dxa"/>
                  <w:bottom w:w="0" w:type="dxa"/>
                  <w:right w:w="0" w:type="dxa"/>
                </w:tblCellMar>
              </w:tblPrEx>
              <w:trPr>
                <w:trHeight w:val="307" w:hRule="atLeast"/>
                <w:jc w:val="center"/>
              </w:trPr>
              <w:tc>
                <w:tcPr>
                  <w:tcW w:w="3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4</w:t>
                  </w:r>
                </w:p>
              </w:tc>
              <w:tc>
                <w:tcPr>
                  <w:tcW w:w="82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olor w:val="auto"/>
                      <w:kern w:val="0"/>
                      <w:sz w:val="21"/>
                      <w:szCs w:val="21"/>
                      <w:lang w:eastAsia="zh-CN"/>
                    </w:rPr>
                  </w:pPr>
                  <w:r>
                    <w:rPr>
                      <w:rFonts w:hint="eastAsia"/>
                      <w:color w:val="auto"/>
                      <w:kern w:val="0"/>
                      <w:sz w:val="21"/>
                      <w:szCs w:val="21"/>
                      <w:lang w:eastAsia="zh-CN"/>
                    </w:rPr>
                    <w:t>柴油</w:t>
                  </w:r>
                </w:p>
              </w:tc>
              <w:tc>
                <w:tcPr>
                  <w:tcW w:w="85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rPr>
                    <w:t>t/a</w:t>
                  </w:r>
                </w:p>
              </w:tc>
              <w:tc>
                <w:tcPr>
                  <w:tcW w:w="78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3</w:t>
                  </w:r>
                </w:p>
              </w:tc>
              <w:tc>
                <w:tcPr>
                  <w:tcW w:w="214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olor w:val="auto"/>
                      <w:kern w:val="0"/>
                      <w:sz w:val="21"/>
                      <w:szCs w:val="21"/>
                      <w:lang w:eastAsia="zh-CN"/>
                    </w:rPr>
                  </w:pPr>
                  <w:r>
                    <w:rPr>
                      <w:rFonts w:hint="eastAsia"/>
                      <w:color w:val="auto"/>
                      <w:kern w:val="0"/>
                      <w:sz w:val="21"/>
                      <w:szCs w:val="21"/>
                      <w:lang w:eastAsia="zh-CN"/>
                    </w:rPr>
                    <w:t>外购，随用随买，不贮存</w:t>
                  </w:r>
                </w:p>
              </w:tc>
            </w:tr>
            <w:tr>
              <w:tblPrEx>
                <w:tblCellMar>
                  <w:top w:w="0" w:type="dxa"/>
                  <w:left w:w="0" w:type="dxa"/>
                  <w:bottom w:w="0" w:type="dxa"/>
                  <w:right w:w="0" w:type="dxa"/>
                </w:tblCellMar>
              </w:tblPrEx>
              <w:trPr>
                <w:trHeight w:val="566" w:hRule="atLeast"/>
                <w:jc w:val="center"/>
              </w:trPr>
              <w:tc>
                <w:tcPr>
                  <w:tcW w:w="3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5</w:t>
                  </w:r>
                </w:p>
              </w:tc>
              <w:tc>
                <w:tcPr>
                  <w:tcW w:w="82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olor w:val="auto"/>
                      <w:kern w:val="0"/>
                      <w:sz w:val="21"/>
                      <w:szCs w:val="21"/>
                      <w:lang w:eastAsia="zh-CN"/>
                    </w:rPr>
                  </w:pPr>
                  <w:r>
                    <w:rPr>
                      <w:rFonts w:hint="eastAsia"/>
                      <w:color w:val="auto"/>
                      <w:kern w:val="0"/>
                      <w:sz w:val="21"/>
                      <w:szCs w:val="21"/>
                      <w:lang w:eastAsia="zh-CN"/>
                    </w:rPr>
                    <w:t>润滑油</w:t>
                  </w:r>
                </w:p>
              </w:tc>
              <w:tc>
                <w:tcPr>
                  <w:tcW w:w="85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color w:val="auto"/>
                      <w:kern w:val="0"/>
                      <w:sz w:val="21"/>
                      <w:szCs w:val="21"/>
                      <w:lang w:eastAsia="zh-CN"/>
                    </w:rPr>
                  </w:pPr>
                  <w:r>
                    <w:rPr>
                      <w:rFonts w:hint="eastAsia"/>
                      <w:color w:val="auto"/>
                      <w:kern w:val="0"/>
                      <w:sz w:val="21"/>
                      <w:szCs w:val="21"/>
                    </w:rPr>
                    <w:t>t/a</w:t>
                  </w:r>
                </w:p>
              </w:tc>
              <w:tc>
                <w:tcPr>
                  <w:tcW w:w="78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0.126</w:t>
                  </w:r>
                </w:p>
              </w:tc>
              <w:tc>
                <w:tcPr>
                  <w:tcW w:w="214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eastAsia="zh-CN"/>
                    </w:rPr>
                    <w:t>每桶</w:t>
                  </w:r>
                  <w:r>
                    <w:rPr>
                      <w:rFonts w:hint="eastAsia"/>
                      <w:color w:val="auto"/>
                      <w:kern w:val="0"/>
                      <w:sz w:val="21"/>
                      <w:szCs w:val="21"/>
                      <w:lang w:val="en-US" w:eastAsia="zh-CN"/>
                    </w:rPr>
                    <w:t>18kg，外购，随用随买，不贮存</w:t>
                  </w:r>
                </w:p>
              </w:tc>
            </w:tr>
          </w:tbl>
          <w:p>
            <w:pPr>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rPr>
                <w:rFonts w:hint="default" w:ascii="Times New Roman" w:hAnsi="Times New Roman" w:eastAsia="宋体" w:cs="Times New Roman"/>
                <w:b/>
                <w:kern w:val="0"/>
                <w:sz w:val="21"/>
                <w:szCs w:val="21"/>
                <w:highlight w:val="yellow"/>
              </w:rPr>
            </w:pPr>
            <w:r>
              <w:rPr>
                <w:rFonts w:hint="default" w:ascii="Times New Roman" w:hAnsi="Times New Roman" w:eastAsia="宋体" w:cs="Times New Roman"/>
                <w:b/>
                <w:kern w:val="0"/>
                <w:sz w:val="21"/>
                <w:szCs w:val="21"/>
              </w:rPr>
              <w:t>表</w:t>
            </w:r>
            <w:r>
              <w:rPr>
                <w:rFonts w:hint="eastAsia" w:eastAsia="宋体" w:cs="Times New Roman"/>
                <w:b/>
                <w:kern w:val="0"/>
                <w:sz w:val="21"/>
                <w:szCs w:val="21"/>
                <w:lang w:val="en-US" w:eastAsia="zh-CN"/>
              </w:rPr>
              <w:t>2-4</w:t>
            </w:r>
            <w:r>
              <w:rPr>
                <w:rFonts w:hint="default" w:ascii="Times New Roman" w:hAnsi="Times New Roman" w:eastAsia="宋体" w:cs="Times New Roman"/>
                <w:b/>
                <w:kern w:val="0"/>
                <w:sz w:val="21"/>
                <w:szCs w:val="21"/>
              </w:rPr>
              <w:t>主要生产设备表</w:t>
            </w:r>
          </w:p>
          <w:tbl>
            <w:tblPr>
              <w:tblStyle w:val="15"/>
              <w:tblW w:w="4947" w:type="pct"/>
              <w:jc w:val="center"/>
              <w:tblLayout w:type="autofit"/>
              <w:tblCellMar>
                <w:top w:w="0" w:type="dxa"/>
                <w:left w:w="0" w:type="dxa"/>
                <w:bottom w:w="0" w:type="dxa"/>
                <w:right w:w="0" w:type="dxa"/>
              </w:tblCellMar>
            </w:tblPr>
            <w:tblGrid>
              <w:gridCol w:w="984"/>
              <w:gridCol w:w="2498"/>
              <w:gridCol w:w="2130"/>
              <w:gridCol w:w="2638"/>
            </w:tblGrid>
            <w:tr>
              <w:tblPrEx>
                <w:tblCellMar>
                  <w:top w:w="0" w:type="dxa"/>
                  <w:left w:w="0" w:type="dxa"/>
                  <w:bottom w:w="0" w:type="dxa"/>
                  <w:right w:w="0" w:type="dxa"/>
                </w:tblCellMar>
              </w:tblPrEx>
              <w:trPr>
                <w:trHeight w:val="90" w:hRule="atLeast"/>
                <w:jc w:val="center"/>
              </w:trPr>
              <w:tc>
                <w:tcPr>
                  <w:tcW w:w="5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51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设备名称</w:t>
                  </w:r>
                </w:p>
              </w:tc>
              <w:tc>
                <w:tcPr>
                  <w:tcW w:w="12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数量</w:t>
                  </w:r>
                </w:p>
              </w:tc>
              <w:tc>
                <w:tcPr>
                  <w:tcW w:w="159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备注</w:t>
                  </w:r>
                </w:p>
              </w:tc>
            </w:tr>
            <w:tr>
              <w:tblPrEx>
                <w:tblCellMar>
                  <w:top w:w="0" w:type="dxa"/>
                  <w:left w:w="0" w:type="dxa"/>
                  <w:bottom w:w="0" w:type="dxa"/>
                  <w:right w:w="0" w:type="dxa"/>
                </w:tblCellMar>
              </w:tblPrEx>
              <w:trPr>
                <w:trHeight w:val="282" w:hRule="atLeast"/>
                <w:jc w:val="center"/>
              </w:trPr>
              <w:tc>
                <w:tcPr>
                  <w:tcW w:w="5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1</w:t>
                  </w:r>
                </w:p>
              </w:tc>
              <w:tc>
                <w:tcPr>
                  <w:tcW w:w="249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eastAsiaTheme="minorEastAsia"/>
                      <w:kern w:val="0"/>
                      <w:sz w:val="21"/>
                      <w:szCs w:val="21"/>
                      <w:lang w:eastAsia="zh-CN"/>
                    </w:rPr>
                    <w:t>给料机</w:t>
                  </w:r>
                </w:p>
              </w:tc>
              <w:tc>
                <w:tcPr>
                  <w:tcW w:w="12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台</w:t>
                  </w:r>
                </w:p>
              </w:tc>
              <w:tc>
                <w:tcPr>
                  <w:tcW w:w="263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rPr>
                  </w:pPr>
                  <w:r>
                    <w:rPr>
                      <w:rFonts w:hint="default" w:ascii="Times New Roman" w:hAnsi="Times New Roman" w:cs="Times New Roman" w:eastAsiaTheme="minorEastAsia"/>
                      <w:kern w:val="0"/>
                      <w:sz w:val="21"/>
                      <w:szCs w:val="21"/>
                      <w:lang w:val="en-US" w:eastAsia="zh-CN"/>
                    </w:rPr>
                    <w:t>1100</w:t>
                  </w:r>
                  <w:r>
                    <w:rPr>
                      <w:rFonts w:hint="default" w:ascii="Times New Roman" w:hAnsi="Times New Roman" w:eastAsia="仿宋" w:cs="Times New Roman"/>
                      <w:sz w:val="21"/>
                      <w:szCs w:val="21"/>
                      <w:highlight w:val="none"/>
                    </w:rPr>
                    <w:t>*</w:t>
                  </w:r>
                  <w:r>
                    <w:rPr>
                      <w:rFonts w:hint="default" w:ascii="Times New Roman" w:hAnsi="Times New Roman" w:eastAsia="仿宋" w:cs="Times New Roman"/>
                      <w:sz w:val="21"/>
                      <w:szCs w:val="21"/>
                      <w:highlight w:val="none"/>
                      <w:lang w:val="en-US" w:eastAsia="zh-CN"/>
                    </w:rPr>
                    <w:t>4900</w:t>
                  </w:r>
                </w:p>
              </w:tc>
            </w:tr>
            <w:tr>
              <w:tblPrEx>
                <w:tblCellMar>
                  <w:top w:w="0" w:type="dxa"/>
                  <w:left w:w="0" w:type="dxa"/>
                  <w:bottom w:w="0" w:type="dxa"/>
                  <w:right w:w="0" w:type="dxa"/>
                </w:tblCellMar>
              </w:tblPrEx>
              <w:trPr>
                <w:trHeight w:val="282" w:hRule="atLeast"/>
                <w:jc w:val="center"/>
              </w:trPr>
              <w:tc>
                <w:tcPr>
                  <w:tcW w:w="5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w:t>
                  </w:r>
                </w:p>
              </w:tc>
              <w:tc>
                <w:tcPr>
                  <w:tcW w:w="249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zh-CN"/>
                    </w:rPr>
                  </w:pPr>
                  <w:r>
                    <w:rPr>
                      <w:rFonts w:hint="default" w:ascii="Times New Roman" w:hAnsi="Times New Roman" w:cs="Times New Roman" w:eastAsiaTheme="minorEastAsia"/>
                      <w:kern w:val="0"/>
                      <w:sz w:val="21"/>
                      <w:szCs w:val="21"/>
                    </w:rPr>
                    <w:t>颚式破碎机</w:t>
                  </w:r>
                </w:p>
              </w:tc>
              <w:tc>
                <w:tcPr>
                  <w:tcW w:w="12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zh-CN"/>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台</w:t>
                  </w:r>
                </w:p>
              </w:tc>
              <w:tc>
                <w:tcPr>
                  <w:tcW w:w="263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eastAsiaTheme="minorEastAsia"/>
                      <w:kern w:val="0"/>
                      <w:sz w:val="21"/>
                      <w:szCs w:val="21"/>
                      <w:lang w:val="en-US" w:eastAsia="zh-CN"/>
                    </w:rPr>
                    <w:t>750</w:t>
                  </w:r>
                  <w:r>
                    <w:rPr>
                      <w:rFonts w:hint="default" w:ascii="Times New Roman" w:hAnsi="Times New Roman" w:eastAsia="仿宋" w:cs="Times New Roman"/>
                      <w:sz w:val="21"/>
                      <w:szCs w:val="21"/>
                      <w:highlight w:val="none"/>
                    </w:rPr>
                    <w:t>*</w:t>
                  </w:r>
                  <w:r>
                    <w:rPr>
                      <w:rFonts w:hint="default" w:ascii="Times New Roman" w:hAnsi="Times New Roman" w:eastAsia="仿宋" w:cs="Times New Roman"/>
                      <w:sz w:val="21"/>
                      <w:szCs w:val="21"/>
                      <w:highlight w:val="none"/>
                      <w:lang w:val="en-US" w:eastAsia="zh-CN"/>
                    </w:rPr>
                    <w:t>1060</w:t>
                  </w:r>
                </w:p>
              </w:tc>
            </w:tr>
            <w:tr>
              <w:tblPrEx>
                <w:tblCellMar>
                  <w:top w:w="0" w:type="dxa"/>
                  <w:left w:w="0" w:type="dxa"/>
                  <w:bottom w:w="0" w:type="dxa"/>
                  <w:right w:w="0" w:type="dxa"/>
                </w:tblCellMar>
              </w:tblPrEx>
              <w:trPr>
                <w:trHeight w:val="282" w:hRule="atLeast"/>
                <w:jc w:val="center"/>
              </w:trPr>
              <w:tc>
                <w:tcPr>
                  <w:tcW w:w="5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w:t>
                  </w:r>
                </w:p>
              </w:tc>
              <w:tc>
                <w:tcPr>
                  <w:tcW w:w="249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eastAsia" w:cs="Times New Roman" w:eastAsiaTheme="minorEastAsia"/>
                      <w:kern w:val="0"/>
                      <w:sz w:val="21"/>
                      <w:szCs w:val="21"/>
                      <w:lang w:eastAsia="zh-CN"/>
                    </w:rPr>
                    <w:t>重锤式破碎机</w:t>
                  </w:r>
                </w:p>
              </w:tc>
              <w:tc>
                <w:tcPr>
                  <w:tcW w:w="12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台</w:t>
                  </w:r>
                </w:p>
              </w:tc>
              <w:tc>
                <w:tcPr>
                  <w:tcW w:w="263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kern w:val="0"/>
                      <w:sz w:val="21"/>
                      <w:szCs w:val="21"/>
                      <w:lang w:val="en-US" w:eastAsia="zh-CN"/>
                    </w:rPr>
                    <w:t>2000</w:t>
                  </w:r>
                </w:p>
              </w:tc>
            </w:tr>
            <w:tr>
              <w:tblPrEx>
                <w:tblCellMar>
                  <w:top w:w="0" w:type="dxa"/>
                  <w:left w:w="0" w:type="dxa"/>
                  <w:bottom w:w="0" w:type="dxa"/>
                  <w:right w:w="0" w:type="dxa"/>
                </w:tblCellMar>
              </w:tblPrEx>
              <w:trPr>
                <w:trHeight w:val="282" w:hRule="atLeast"/>
                <w:jc w:val="center"/>
              </w:trPr>
              <w:tc>
                <w:tcPr>
                  <w:tcW w:w="5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w:t>
                  </w:r>
                </w:p>
              </w:tc>
              <w:tc>
                <w:tcPr>
                  <w:tcW w:w="249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eastAsiaTheme="minorEastAsia"/>
                      <w:kern w:val="0"/>
                      <w:sz w:val="21"/>
                      <w:szCs w:val="21"/>
                    </w:rPr>
                    <w:t>振动</w:t>
                  </w:r>
                  <w:r>
                    <w:rPr>
                      <w:rFonts w:hint="default" w:ascii="Times New Roman" w:hAnsi="Times New Roman" w:cs="Times New Roman" w:eastAsiaTheme="minorEastAsia"/>
                      <w:kern w:val="0"/>
                      <w:sz w:val="21"/>
                      <w:szCs w:val="21"/>
                      <w:lang w:eastAsia="zh-CN"/>
                    </w:rPr>
                    <w:t>筛</w:t>
                  </w:r>
                </w:p>
              </w:tc>
              <w:tc>
                <w:tcPr>
                  <w:tcW w:w="12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台</w:t>
                  </w:r>
                </w:p>
              </w:tc>
              <w:tc>
                <w:tcPr>
                  <w:tcW w:w="263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cs="Times New Roman" w:eastAsiaTheme="minorEastAsia"/>
                      <w:kern w:val="0"/>
                      <w:sz w:val="21"/>
                      <w:szCs w:val="21"/>
                      <w:lang w:val="en-US" w:eastAsia="zh-CN"/>
                    </w:rPr>
                    <w:t>2400</w:t>
                  </w:r>
                  <w:r>
                    <w:rPr>
                      <w:rFonts w:hint="default" w:ascii="Times New Roman" w:hAnsi="Times New Roman" w:eastAsia="仿宋" w:cs="Times New Roman"/>
                      <w:sz w:val="21"/>
                      <w:szCs w:val="21"/>
                      <w:highlight w:val="none"/>
                    </w:rPr>
                    <w:t>*</w:t>
                  </w:r>
                  <w:r>
                    <w:rPr>
                      <w:rFonts w:hint="default" w:ascii="Times New Roman" w:hAnsi="Times New Roman" w:eastAsia="仿宋" w:cs="Times New Roman"/>
                      <w:sz w:val="21"/>
                      <w:szCs w:val="21"/>
                      <w:highlight w:val="none"/>
                      <w:lang w:val="en-US" w:eastAsia="zh-CN"/>
                    </w:rPr>
                    <w:t>8000</w:t>
                  </w:r>
                </w:p>
              </w:tc>
            </w:tr>
            <w:tr>
              <w:tblPrEx>
                <w:tblCellMar>
                  <w:top w:w="0" w:type="dxa"/>
                  <w:left w:w="0" w:type="dxa"/>
                  <w:bottom w:w="0" w:type="dxa"/>
                  <w:right w:w="0" w:type="dxa"/>
                </w:tblCellMar>
              </w:tblPrEx>
              <w:trPr>
                <w:trHeight w:val="392" w:hRule="atLeast"/>
                <w:jc w:val="center"/>
              </w:trPr>
              <w:tc>
                <w:tcPr>
                  <w:tcW w:w="5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cs="Times New Roman"/>
                      <w:color w:val="auto"/>
                      <w:kern w:val="0"/>
                      <w:sz w:val="21"/>
                      <w:szCs w:val="21"/>
                      <w:lang w:val="en-US" w:eastAsia="zh-CN" w:bidi="zh-CN"/>
                    </w:rPr>
                    <w:t>5</w:t>
                  </w:r>
                </w:p>
              </w:tc>
              <w:tc>
                <w:tcPr>
                  <w:tcW w:w="249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eastAsiaTheme="minorEastAsia"/>
                      <w:kern w:val="0"/>
                      <w:sz w:val="21"/>
                      <w:szCs w:val="21"/>
                    </w:rPr>
                    <w:t>装载机</w:t>
                  </w:r>
                </w:p>
              </w:tc>
              <w:tc>
                <w:tcPr>
                  <w:tcW w:w="12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3辆</w:t>
                  </w:r>
                </w:p>
              </w:tc>
              <w:tc>
                <w:tcPr>
                  <w:tcW w:w="263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eastAsiaTheme="minorEastAsia"/>
                      <w:sz w:val="21"/>
                      <w:szCs w:val="21"/>
                      <w:lang w:val="en-US" w:eastAsia="zh-CN"/>
                    </w:rPr>
                    <w:t>徐工500HV</w:t>
                  </w:r>
                </w:p>
              </w:tc>
            </w:tr>
            <w:tr>
              <w:tblPrEx>
                <w:tblCellMar>
                  <w:top w:w="0" w:type="dxa"/>
                  <w:left w:w="0" w:type="dxa"/>
                  <w:bottom w:w="0" w:type="dxa"/>
                  <w:right w:w="0" w:type="dxa"/>
                </w:tblCellMar>
              </w:tblPrEx>
              <w:trPr>
                <w:trHeight w:val="392" w:hRule="atLeast"/>
                <w:jc w:val="center"/>
              </w:trPr>
              <w:tc>
                <w:tcPr>
                  <w:tcW w:w="5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cs="Times New Roman"/>
                      <w:color w:val="auto"/>
                      <w:kern w:val="0"/>
                      <w:sz w:val="21"/>
                      <w:szCs w:val="21"/>
                      <w:lang w:val="en-US" w:eastAsia="zh-CN" w:bidi="zh-CN"/>
                    </w:rPr>
                    <w:t>6</w:t>
                  </w:r>
                </w:p>
              </w:tc>
              <w:tc>
                <w:tcPr>
                  <w:tcW w:w="249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eastAsiaTheme="minorEastAsia"/>
                      <w:kern w:val="0"/>
                      <w:sz w:val="21"/>
                      <w:szCs w:val="21"/>
                      <w:lang w:eastAsia="zh-CN"/>
                    </w:rPr>
                    <w:t>运输车</w:t>
                  </w:r>
                </w:p>
              </w:tc>
              <w:tc>
                <w:tcPr>
                  <w:tcW w:w="12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6辆</w:t>
                  </w:r>
                </w:p>
              </w:tc>
              <w:tc>
                <w:tcPr>
                  <w:tcW w:w="263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r>
            <w:tr>
              <w:tblPrEx>
                <w:tblCellMar>
                  <w:top w:w="0" w:type="dxa"/>
                  <w:left w:w="0" w:type="dxa"/>
                  <w:bottom w:w="0" w:type="dxa"/>
                  <w:right w:w="0" w:type="dxa"/>
                </w:tblCellMar>
              </w:tblPrEx>
              <w:trPr>
                <w:trHeight w:val="359" w:hRule="atLeast"/>
                <w:jc w:val="center"/>
              </w:trPr>
              <w:tc>
                <w:tcPr>
                  <w:tcW w:w="5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7</w:t>
                  </w:r>
                </w:p>
              </w:tc>
              <w:tc>
                <w:tcPr>
                  <w:tcW w:w="249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挖掘机</w:t>
                  </w:r>
                </w:p>
              </w:tc>
              <w:tc>
                <w:tcPr>
                  <w:tcW w:w="12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1辆</w:t>
                  </w:r>
                </w:p>
              </w:tc>
              <w:tc>
                <w:tcPr>
                  <w:tcW w:w="263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r>
            <w:tr>
              <w:tblPrEx>
                <w:tblCellMar>
                  <w:top w:w="0" w:type="dxa"/>
                  <w:left w:w="0" w:type="dxa"/>
                  <w:bottom w:w="0" w:type="dxa"/>
                  <w:right w:w="0" w:type="dxa"/>
                </w:tblCellMar>
              </w:tblPrEx>
              <w:trPr>
                <w:trHeight w:val="392" w:hRule="atLeast"/>
                <w:jc w:val="center"/>
              </w:trPr>
              <w:tc>
                <w:tcPr>
                  <w:tcW w:w="5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w:t>
                  </w:r>
                </w:p>
              </w:tc>
              <w:tc>
                <w:tcPr>
                  <w:tcW w:w="249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皮带</w:t>
                  </w:r>
                </w:p>
              </w:tc>
              <w:tc>
                <w:tcPr>
                  <w:tcW w:w="12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10</w:t>
                  </w:r>
                  <w:r>
                    <w:rPr>
                      <w:rFonts w:hint="default" w:ascii="Times New Roman" w:hAnsi="Times New Roman" w:cs="Times New Roman"/>
                      <w:color w:val="auto"/>
                      <w:kern w:val="0"/>
                      <w:sz w:val="21"/>
                      <w:szCs w:val="21"/>
                      <w:lang w:val="en-US" w:eastAsia="zh-CN"/>
                    </w:rPr>
                    <w:t>条</w:t>
                  </w:r>
                </w:p>
              </w:tc>
              <w:tc>
                <w:tcPr>
                  <w:tcW w:w="263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r>
            <w:tr>
              <w:tblPrEx>
                <w:tblCellMar>
                  <w:top w:w="0" w:type="dxa"/>
                  <w:left w:w="0" w:type="dxa"/>
                  <w:bottom w:w="0" w:type="dxa"/>
                  <w:right w:w="0" w:type="dxa"/>
                </w:tblCellMar>
              </w:tblPrEx>
              <w:trPr>
                <w:trHeight w:val="392" w:hRule="atLeast"/>
                <w:jc w:val="center"/>
              </w:trPr>
              <w:tc>
                <w:tcPr>
                  <w:tcW w:w="59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9</w:t>
                  </w:r>
                </w:p>
              </w:tc>
              <w:tc>
                <w:tcPr>
                  <w:tcW w:w="249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布袋除尘器</w:t>
                  </w:r>
                </w:p>
              </w:tc>
              <w:tc>
                <w:tcPr>
                  <w:tcW w:w="129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1台</w:t>
                  </w:r>
                </w:p>
              </w:tc>
              <w:tc>
                <w:tcPr>
                  <w:tcW w:w="263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w:t>
                  </w:r>
                </w:p>
              </w:tc>
            </w:tr>
          </w:tbl>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2" w:firstLineChars="200"/>
              <w:jc w:val="left"/>
              <w:textAlignment w:val="auto"/>
              <w:rPr>
                <w:b/>
                <w:bCs/>
                <w:highlight w:val="none"/>
                <w:lang w:val="en-US"/>
              </w:rPr>
            </w:pPr>
            <w:r>
              <w:rPr>
                <w:rFonts w:hint="eastAsia"/>
                <w:b/>
                <w:bCs/>
                <w:highlight w:val="none"/>
                <w:lang w:val="en-US" w:eastAsia="zh-CN"/>
              </w:rPr>
              <w:t>5</w:t>
            </w:r>
            <w:r>
              <w:rPr>
                <w:rFonts w:hint="eastAsia"/>
                <w:b/>
                <w:bCs/>
                <w:highlight w:val="none"/>
                <w:lang w:val="en-US"/>
              </w:rPr>
              <w:t>、给排水</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2" w:firstLineChars="200"/>
              <w:jc w:val="left"/>
              <w:textAlignment w:val="auto"/>
              <w:rPr>
                <w:rFonts w:hint="eastAsia" w:eastAsia="宋体" w:cs="Times New Roman"/>
                <w:color w:val="0000FF"/>
                <w:szCs w:val="22"/>
                <w:highlight w:val="none"/>
                <w:lang w:val="en-US" w:eastAsia="zh-CN"/>
              </w:rPr>
            </w:pPr>
            <w:r>
              <w:rPr>
                <w:rFonts w:cs="Times New Roman"/>
                <w:b/>
                <w:bCs/>
                <w:szCs w:val="22"/>
                <w:highlight w:val="none"/>
                <w:lang w:val="en-US"/>
              </w:rPr>
              <w:t>给水</w:t>
            </w:r>
            <w:r>
              <w:rPr>
                <w:rFonts w:cs="Times New Roman"/>
                <w:szCs w:val="22"/>
                <w:highlight w:val="none"/>
                <w:lang w:val="en-US"/>
              </w:rPr>
              <w:t>：</w:t>
            </w:r>
            <w:r>
              <w:rPr>
                <w:rFonts w:hint="default" w:ascii="Times New Roman" w:hAnsi="Times New Roman" w:cs="Times New Roman"/>
                <w:color w:val="auto"/>
                <w:szCs w:val="22"/>
                <w:highlight w:val="none"/>
                <w:lang w:val="en-US" w:eastAsia="zh-CN"/>
              </w:rPr>
              <w:t>本项目用水为生产用水及生活用水，用水</w:t>
            </w:r>
            <w:r>
              <w:rPr>
                <w:rFonts w:hint="eastAsia" w:ascii="Times New Roman" w:hAnsi="Times New Roman" w:cs="Times New Roman"/>
                <w:color w:val="auto"/>
                <w:szCs w:val="22"/>
                <w:highlight w:val="none"/>
                <w:lang w:val="en-US" w:eastAsia="zh-CN"/>
              </w:rPr>
              <w:t>取自自备水井</w:t>
            </w:r>
            <w:r>
              <w:rPr>
                <w:rFonts w:hint="default" w:ascii="Times New Roman" w:hAnsi="Times New Roman" w:cs="Times New Roman"/>
                <w:color w:val="auto"/>
                <w:szCs w:val="22"/>
                <w:highlight w:val="none"/>
                <w:lang w:val="en-US" w:eastAsia="zh-CN"/>
              </w:rPr>
              <w:t>，</w:t>
            </w:r>
            <w:r>
              <w:rPr>
                <w:rFonts w:cs="Times New Roman"/>
                <w:color w:val="auto"/>
                <w:szCs w:val="22"/>
                <w:highlight w:val="none"/>
                <w:lang w:val="en-US"/>
              </w:rPr>
              <w:t>可满足项目需求</w:t>
            </w:r>
            <w:r>
              <w:rPr>
                <w:rFonts w:hint="eastAsia" w:cs="Times New Roman"/>
                <w:color w:val="auto"/>
                <w:szCs w:val="22"/>
                <w:highlight w:val="none"/>
                <w:lang w:val="en-US"/>
              </w:rPr>
              <w:t>。</w:t>
            </w:r>
            <w:r>
              <w:rPr>
                <w:rFonts w:cs="Times New Roman"/>
                <w:color w:val="auto"/>
                <w:szCs w:val="22"/>
                <w:highlight w:val="none"/>
                <w:lang w:val="en-US"/>
              </w:rPr>
              <w:t>项目总</w:t>
            </w:r>
            <w:r>
              <w:rPr>
                <w:rFonts w:hint="eastAsia"/>
                <w:color w:val="auto"/>
                <w:szCs w:val="22"/>
                <w:highlight w:val="none"/>
                <w:lang w:val="en-US"/>
              </w:rPr>
              <w:t>用水量为</w:t>
            </w:r>
            <w:r>
              <w:rPr>
                <w:rFonts w:hint="eastAsia"/>
                <w:color w:val="auto"/>
                <w:highlight w:val="none"/>
                <w:lang w:val="en-US" w:eastAsia="zh-CN"/>
              </w:rPr>
              <w:t>4.6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olor w:val="auto"/>
                <w:highlight w:val="none"/>
                <w:lang w:val="en-US" w:eastAsia="zh-CN"/>
              </w:rPr>
              <w:t>690</w:t>
            </w:r>
            <w:r>
              <w:rPr>
                <w:color w:val="auto"/>
                <w:highlight w:val="none"/>
              </w:rPr>
              <w:t>m</w:t>
            </w:r>
            <w:r>
              <w:rPr>
                <w:color w:val="auto"/>
                <w:highlight w:val="none"/>
                <w:vertAlign w:val="superscript"/>
              </w:rPr>
              <w:t>3</w:t>
            </w:r>
            <w:r>
              <w:rPr>
                <w:color w:val="auto"/>
                <w:highlight w:val="none"/>
              </w:rPr>
              <w:t>/a</w:t>
            </w:r>
            <w:r>
              <w:rPr>
                <w:rFonts w:hint="eastAsia" w:cs="Times New Roman"/>
                <w:color w:val="auto"/>
                <w:sz w:val="24"/>
                <w:szCs w:val="24"/>
                <w:highlight w:val="none"/>
                <w:lang w:val="en-US" w:eastAsia="zh-CN"/>
              </w:rPr>
              <w:t>）</w:t>
            </w:r>
            <w:r>
              <w:rPr>
                <w:rFonts w:hint="eastAsia"/>
                <w:color w:val="auto"/>
                <w:highlight w:val="none"/>
              </w:rPr>
              <w:t>，其中新水量为</w:t>
            </w:r>
            <w:r>
              <w:rPr>
                <w:rFonts w:hint="eastAsia"/>
                <w:color w:val="auto"/>
                <w:highlight w:val="none"/>
                <w:lang w:val="en-US" w:eastAsia="zh-CN"/>
              </w:rPr>
              <w:t>2.8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olor w:val="auto"/>
                <w:highlight w:val="none"/>
                <w:lang w:val="en-US" w:eastAsia="zh-CN"/>
              </w:rPr>
              <w:t>420</w:t>
            </w:r>
            <w:r>
              <w:rPr>
                <w:color w:val="auto"/>
                <w:highlight w:val="none"/>
              </w:rPr>
              <w:t>m</w:t>
            </w:r>
            <w:r>
              <w:rPr>
                <w:color w:val="auto"/>
                <w:highlight w:val="none"/>
                <w:vertAlign w:val="superscript"/>
              </w:rPr>
              <w:t>3</w:t>
            </w:r>
            <w:r>
              <w:rPr>
                <w:color w:val="auto"/>
                <w:highlight w:val="none"/>
              </w:rPr>
              <w:t>/a</w:t>
            </w:r>
            <w:r>
              <w:rPr>
                <w:rFonts w:hint="eastAsia" w:cs="Times New Roman"/>
                <w:color w:val="auto"/>
                <w:sz w:val="24"/>
                <w:szCs w:val="24"/>
                <w:highlight w:val="none"/>
                <w:lang w:val="en-US" w:eastAsia="zh-CN"/>
              </w:rPr>
              <w:t>）</w:t>
            </w:r>
            <w:r>
              <w:rPr>
                <w:rFonts w:hint="eastAsia"/>
                <w:color w:val="auto"/>
                <w:highlight w:val="none"/>
              </w:rPr>
              <w:t>，循环水量为</w:t>
            </w:r>
            <w:r>
              <w:rPr>
                <w:rFonts w:hint="eastAsia"/>
                <w:color w:val="auto"/>
                <w:highlight w:val="none"/>
                <w:lang w:val="en-US" w:eastAsia="zh-CN"/>
              </w:rPr>
              <w:t>1.8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olor w:val="auto"/>
                <w:highlight w:val="none"/>
                <w:lang w:val="en-US" w:eastAsia="zh-CN"/>
              </w:rPr>
              <w:t>270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rFonts w:hint="eastAsia" w:cs="Times New Roman"/>
                <w:color w:val="auto"/>
                <w:sz w:val="24"/>
                <w:szCs w:val="24"/>
                <w:highlight w:val="none"/>
                <w:lang w:val="en-US" w:eastAsia="zh-CN"/>
              </w:rPr>
              <w:t>）</w:t>
            </w:r>
            <w:r>
              <w:rPr>
                <w:rFonts w:hint="eastAsia"/>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color w:val="auto"/>
                <w:highlight w:val="none"/>
              </w:rPr>
            </w:pPr>
            <w:r>
              <w:rPr>
                <w:color w:val="auto"/>
                <w:kern w:val="24"/>
                <w:highlight w:val="none"/>
              </w:rPr>
              <w:t>生产用水主</w:t>
            </w:r>
            <w:r>
              <w:rPr>
                <w:color w:val="auto"/>
                <w:kern w:val="24"/>
                <w:szCs w:val="28"/>
                <w:highlight w:val="none"/>
              </w:rPr>
              <w:t>要</w:t>
            </w:r>
            <w:r>
              <w:rPr>
                <w:rFonts w:hint="eastAsia"/>
                <w:color w:val="auto"/>
                <w:kern w:val="24"/>
                <w:szCs w:val="28"/>
                <w:highlight w:val="none"/>
              </w:rPr>
              <w:t>为</w:t>
            </w:r>
            <w:r>
              <w:rPr>
                <w:rFonts w:hint="eastAsia" w:cs="Times New Roman"/>
                <w:color w:val="auto"/>
                <w:sz w:val="24"/>
                <w:szCs w:val="24"/>
                <w:highlight w:val="none"/>
                <w:lang w:eastAsia="zh-CN"/>
              </w:rPr>
              <w:t>原料库</w:t>
            </w:r>
            <w:r>
              <w:rPr>
                <w:rFonts w:hint="eastAsia" w:ascii="Times New Roman" w:hAnsi="Times New Roman" w:eastAsia="宋体" w:cs="Times New Roman"/>
                <w:color w:val="auto"/>
                <w:sz w:val="24"/>
                <w:szCs w:val="24"/>
                <w:highlight w:val="none"/>
                <w:lang w:eastAsia="zh-CN"/>
              </w:rPr>
              <w:t>及</w:t>
            </w:r>
            <w:r>
              <w:rPr>
                <w:rFonts w:hint="eastAsia" w:cs="Times New Roman"/>
                <w:color w:val="auto"/>
                <w:sz w:val="24"/>
                <w:szCs w:val="24"/>
                <w:highlight w:val="none"/>
                <w:lang w:eastAsia="zh-CN"/>
              </w:rPr>
              <w:t>封闭式生产车间</w:t>
            </w:r>
            <w:r>
              <w:rPr>
                <w:rFonts w:hint="default" w:ascii="Times New Roman" w:hAnsi="Times New Roman" w:eastAsia="宋体" w:cs="Times New Roman"/>
                <w:color w:val="auto"/>
                <w:sz w:val="24"/>
                <w:szCs w:val="24"/>
                <w:highlight w:val="none"/>
                <w:lang w:eastAsia="zh-CN"/>
              </w:rPr>
              <w:t>降尘用水、</w:t>
            </w:r>
            <w:r>
              <w:rPr>
                <w:rFonts w:hint="default" w:ascii="Times New Roman" w:hAnsi="Times New Roman" w:eastAsia="宋体" w:cs="Times New Roman"/>
                <w:color w:val="auto"/>
                <w:kern w:val="24"/>
                <w:sz w:val="24"/>
                <w:szCs w:val="24"/>
                <w:highlight w:val="none"/>
              </w:rPr>
              <w:t>厂区</w:t>
            </w:r>
            <w:r>
              <w:rPr>
                <w:rFonts w:hint="default" w:ascii="Times New Roman" w:hAnsi="Times New Roman" w:eastAsia="宋体" w:cs="Times New Roman"/>
                <w:color w:val="auto"/>
                <w:kern w:val="24"/>
                <w:sz w:val="24"/>
                <w:szCs w:val="24"/>
                <w:highlight w:val="none"/>
                <w:lang w:eastAsia="zh-CN"/>
              </w:rPr>
              <w:t>泼洒抑尘用</w:t>
            </w:r>
            <w:r>
              <w:rPr>
                <w:rFonts w:hint="default" w:ascii="Times New Roman" w:hAnsi="Times New Roman" w:eastAsia="宋体" w:cs="Times New Roman"/>
                <w:color w:val="auto"/>
                <w:kern w:val="24"/>
                <w:sz w:val="24"/>
                <w:szCs w:val="24"/>
                <w:highlight w:val="none"/>
              </w:rPr>
              <w:t>水</w:t>
            </w:r>
            <w:r>
              <w:rPr>
                <w:rFonts w:hint="default" w:ascii="Times New Roman" w:hAnsi="Times New Roman" w:eastAsia="宋体" w:cs="Times New Roman"/>
                <w:color w:val="auto"/>
                <w:kern w:val="24"/>
                <w:sz w:val="24"/>
                <w:szCs w:val="24"/>
                <w:highlight w:val="none"/>
                <w:lang w:eastAsia="zh-CN"/>
              </w:rPr>
              <w:t>及</w:t>
            </w:r>
            <w:r>
              <w:rPr>
                <w:rFonts w:hint="default" w:ascii="Times New Roman" w:hAnsi="Times New Roman" w:eastAsia="宋体" w:cs="Times New Roman"/>
                <w:color w:val="auto"/>
                <w:sz w:val="24"/>
                <w:szCs w:val="24"/>
                <w:highlight w:val="none"/>
                <w:lang w:eastAsia="zh-CN"/>
              </w:rPr>
              <w:t>车辆清洗用水</w:t>
            </w:r>
            <w:r>
              <w:rPr>
                <w:color w:val="auto"/>
                <w:highlight w:val="none"/>
              </w:rPr>
              <w:t>。</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highlight w:val="none"/>
                <w:lang w:eastAsia="zh-CN"/>
              </w:rPr>
              <w:t>①</w:t>
            </w:r>
            <w:r>
              <w:rPr>
                <w:rFonts w:hint="eastAsia" w:cs="Times New Roman"/>
                <w:color w:val="auto"/>
                <w:sz w:val="24"/>
                <w:szCs w:val="24"/>
                <w:highlight w:val="none"/>
                <w:lang w:eastAsia="zh-CN"/>
              </w:rPr>
              <w:t>原料库</w:t>
            </w:r>
            <w:r>
              <w:rPr>
                <w:rFonts w:hint="eastAsia" w:ascii="Times New Roman" w:hAnsi="Times New Roman" w:eastAsia="宋体" w:cs="Times New Roman"/>
                <w:color w:val="auto"/>
                <w:sz w:val="24"/>
                <w:szCs w:val="24"/>
                <w:highlight w:val="none"/>
                <w:lang w:eastAsia="zh-CN"/>
              </w:rPr>
              <w:t>及</w:t>
            </w:r>
            <w:r>
              <w:rPr>
                <w:rFonts w:hint="eastAsia" w:cs="Times New Roman"/>
                <w:color w:val="auto"/>
                <w:sz w:val="24"/>
                <w:szCs w:val="24"/>
                <w:highlight w:val="none"/>
                <w:lang w:eastAsia="zh-CN"/>
              </w:rPr>
              <w:t>封闭式生产车间</w:t>
            </w:r>
            <w:r>
              <w:rPr>
                <w:rFonts w:hint="default" w:ascii="Times New Roman" w:hAnsi="Times New Roman" w:eastAsia="宋体" w:cs="Times New Roman"/>
                <w:color w:val="auto"/>
                <w:sz w:val="24"/>
                <w:szCs w:val="24"/>
                <w:highlight w:val="none"/>
                <w:lang w:eastAsia="zh-CN"/>
              </w:rPr>
              <w:t>降尘用水为</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d（150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color w:val="auto"/>
                <w:highlight w:val="none"/>
                <w:lang w:val="en-US" w:eastAsia="zh-CN"/>
              </w:rPr>
            </w:pPr>
            <w:r>
              <w:rPr>
                <w:rFonts w:hint="eastAsia"/>
                <w:color w:val="auto"/>
                <w:highlight w:val="none"/>
                <w:lang w:eastAsia="zh-CN"/>
              </w:rPr>
              <w:t>②</w:t>
            </w:r>
            <w:r>
              <w:rPr>
                <w:rFonts w:hint="default"/>
                <w:color w:val="auto"/>
                <w:highlight w:val="none"/>
              </w:rPr>
              <w:t>厂区</w:t>
            </w:r>
            <w:r>
              <w:rPr>
                <w:rFonts w:hint="default"/>
                <w:color w:val="auto"/>
                <w:highlight w:val="none"/>
                <w:lang w:eastAsia="zh-CN"/>
              </w:rPr>
              <w:t>泼洒抑尘用</w:t>
            </w:r>
            <w:r>
              <w:rPr>
                <w:rFonts w:hint="default"/>
                <w:color w:val="auto"/>
                <w:highlight w:val="none"/>
              </w:rPr>
              <w:t>水</w:t>
            </w:r>
            <w:r>
              <w:rPr>
                <w:rFonts w:hint="default" w:ascii="Times New Roman" w:hAnsi="Times New Roman" w:eastAsia="宋体" w:cs="Times New Roman"/>
                <w:color w:val="auto"/>
                <w:sz w:val="24"/>
                <w:szCs w:val="24"/>
                <w:highlight w:val="none"/>
                <w:lang w:eastAsia="zh-CN"/>
              </w:rPr>
              <w:t>为</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d（150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highlight w:val="none"/>
                <w:lang w:eastAsia="zh-CN"/>
              </w:rPr>
            </w:pPr>
            <w:r>
              <w:rPr>
                <w:rFonts w:hint="eastAsia"/>
                <w:color w:val="auto"/>
                <w:highlight w:val="none"/>
                <w:lang w:val="en-US"/>
              </w:rPr>
              <w:t>③</w:t>
            </w:r>
            <w:r>
              <w:rPr>
                <w:rFonts w:hint="eastAsia"/>
                <w:color w:val="auto"/>
                <w:kern w:val="24"/>
                <w:szCs w:val="28"/>
                <w:highlight w:val="none"/>
                <w:lang w:eastAsia="zh-CN"/>
              </w:rPr>
              <w:t>车辆清洗用水，</w:t>
            </w:r>
            <w:r>
              <w:rPr>
                <w:rFonts w:hint="eastAsia"/>
                <w:color w:val="auto"/>
                <w:highlight w:val="none"/>
                <w:lang w:eastAsia="zh-CN"/>
              </w:rPr>
              <w:t>厂区出入口设置洗轮机，用于清洗出入厂车辆，用水量为</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d（300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val="en-US" w:eastAsia="zh-CN"/>
              </w:rPr>
              <w:t>）</w:t>
            </w:r>
            <w:r>
              <w:rPr>
                <w:rFonts w:hint="eastAsia"/>
                <w:color w:val="auto"/>
                <w:highlight w:val="none"/>
                <w:lang w:eastAsia="zh-CN"/>
              </w:rPr>
              <w:t>，其中新水量为</w:t>
            </w:r>
            <w:r>
              <w:rPr>
                <w:rFonts w:hint="eastAsia"/>
                <w:color w:val="auto"/>
                <w:highlight w:val="none"/>
                <w:lang w:val="en-US" w:eastAsia="zh-CN"/>
              </w:rPr>
              <w:t>0.2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olor w:val="auto"/>
                <w:highlight w:val="none"/>
                <w:lang w:val="en-US" w:eastAsia="zh-CN"/>
              </w:rPr>
              <w:t>30</w:t>
            </w:r>
            <w:r>
              <w:rPr>
                <w:color w:val="auto"/>
                <w:highlight w:val="none"/>
              </w:rPr>
              <w:t>m</w:t>
            </w:r>
            <w:r>
              <w:rPr>
                <w:color w:val="auto"/>
                <w:highlight w:val="none"/>
                <w:vertAlign w:val="superscript"/>
              </w:rPr>
              <w:t>3</w:t>
            </w:r>
            <w:r>
              <w:rPr>
                <w:color w:val="auto"/>
                <w:highlight w:val="none"/>
              </w:rPr>
              <w:t>/a</w:t>
            </w:r>
            <w:r>
              <w:rPr>
                <w:rFonts w:hint="eastAsia" w:cs="Times New Roman"/>
                <w:color w:val="auto"/>
                <w:sz w:val="24"/>
                <w:szCs w:val="24"/>
                <w:highlight w:val="none"/>
                <w:lang w:val="en-US" w:eastAsia="zh-CN"/>
              </w:rPr>
              <w:t>）</w:t>
            </w:r>
            <w:r>
              <w:rPr>
                <w:rFonts w:hint="eastAsia"/>
                <w:color w:val="auto"/>
                <w:highlight w:val="none"/>
                <w:lang w:eastAsia="zh-CN"/>
              </w:rPr>
              <w:t>，循环水量为</w:t>
            </w:r>
            <w:r>
              <w:rPr>
                <w:rFonts w:hint="eastAsia"/>
                <w:color w:val="auto"/>
                <w:highlight w:val="none"/>
                <w:lang w:val="en-US" w:eastAsia="zh-CN"/>
              </w:rPr>
              <w:t>1.8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olor w:val="auto"/>
                <w:highlight w:val="none"/>
                <w:lang w:val="en-US" w:eastAsia="zh-CN"/>
              </w:rPr>
              <w:t>270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rFonts w:hint="eastAsia" w:cs="Times New Roman"/>
                <w:color w:val="auto"/>
                <w:sz w:val="24"/>
                <w:szCs w:val="24"/>
                <w:highlight w:val="none"/>
                <w:lang w:val="en-US" w:eastAsia="zh-CN"/>
              </w:rPr>
              <w:t>）</w:t>
            </w:r>
            <w:r>
              <w:rPr>
                <w:rFonts w:hint="eastAsia"/>
                <w:color w:val="auto"/>
                <w:highlight w:val="none"/>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eastAsia="宋体"/>
                <w:color w:val="auto"/>
                <w:highlight w:val="none"/>
                <w:lang w:eastAsia="zh-CN"/>
              </w:rPr>
            </w:pPr>
            <w:r>
              <w:rPr>
                <w:rFonts w:hint="eastAsia"/>
                <w:color w:val="auto"/>
                <w:highlight w:val="none"/>
                <w:lang w:eastAsia="zh-CN"/>
              </w:rPr>
              <w:t>以上本项目生产总用水量为</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olor w:val="auto"/>
                <w:highlight w:val="none"/>
                <w:lang w:val="en-US" w:eastAsia="zh-CN"/>
              </w:rPr>
              <w:t>600</w:t>
            </w:r>
            <w:r>
              <w:rPr>
                <w:color w:val="auto"/>
                <w:highlight w:val="none"/>
              </w:rPr>
              <w:t>m</w:t>
            </w:r>
            <w:r>
              <w:rPr>
                <w:color w:val="auto"/>
                <w:highlight w:val="none"/>
                <w:vertAlign w:val="superscript"/>
              </w:rPr>
              <w:t>3</w:t>
            </w:r>
            <w:r>
              <w:rPr>
                <w:color w:val="auto"/>
                <w:highlight w:val="none"/>
              </w:rPr>
              <w:t>/a</w:t>
            </w:r>
            <w:r>
              <w:rPr>
                <w:rFonts w:hint="eastAsia" w:cs="Times New Roman"/>
                <w:color w:val="auto"/>
                <w:sz w:val="24"/>
                <w:szCs w:val="24"/>
                <w:highlight w:val="none"/>
                <w:lang w:val="en-US" w:eastAsia="zh-CN"/>
              </w:rPr>
              <w:t>）</w:t>
            </w:r>
            <w:r>
              <w:rPr>
                <w:rFonts w:hint="eastAsia"/>
                <w:color w:val="auto"/>
                <w:highlight w:val="none"/>
                <w:lang w:eastAsia="zh-CN"/>
              </w:rPr>
              <w:t>，其中新水量为</w:t>
            </w:r>
            <w:r>
              <w:rPr>
                <w:rFonts w:hint="eastAsia"/>
                <w:color w:val="auto"/>
                <w:lang w:val="en-US" w:eastAsia="zh-CN"/>
              </w:rPr>
              <w:t>2.2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olor w:val="auto"/>
                <w:highlight w:val="none"/>
                <w:lang w:val="en-US" w:eastAsia="zh-CN"/>
              </w:rPr>
              <w:t>330</w:t>
            </w:r>
            <w:r>
              <w:rPr>
                <w:color w:val="auto"/>
                <w:highlight w:val="none"/>
              </w:rPr>
              <w:t>m</w:t>
            </w:r>
            <w:r>
              <w:rPr>
                <w:color w:val="auto"/>
                <w:highlight w:val="none"/>
                <w:vertAlign w:val="superscript"/>
              </w:rPr>
              <w:t>3</w:t>
            </w:r>
            <w:r>
              <w:rPr>
                <w:color w:val="auto"/>
                <w:highlight w:val="none"/>
              </w:rPr>
              <w:t>/a</w:t>
            </w:r>
            <w:r>
              <w:rPr>
                <w:rFonts w:hint="eastAsia" w:cs="Times New Roman"/>
                <w:color w:val="auto"/>
                <w:sz w:val="24"/>
                <w:szCs w:val="24"/>
                <w:highlight w:val="none"/>
                <w:lang w:val="en-US" w:eastAsia="zh-CN"/>
              </w:rPr>
              <w:t>）</w:t>
            </w:r>
            <w:r>
              <w:rPr>
                <w:rFonts w:hint="eastAsia"/>
                <w:color w:val="auto"/>
                <w:highlight w:val="none"/>
                <w:lang w:eastAsia="zh-CN"/>
              </w:rPr>
              <w:t>，循环水量为</w:t>
            </w:r>
            <w:r>
              <w:rPr>
                <w:rFonts w:hint="eastAsia"/>
                <w:color w:val="auto"/>
                <w:highlight w:val="none"/>
                <w:lang w:val="en-US" w:eastAsia="zh-CN"/>
              </w:rPr>
              <w:t>1.8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olor w:val="auto"/>
                <w:highlight w:val="none"/>
                <w:lang w:val="en-US" w:eastAsia="zh-CN"/>
              </w:rPr>
              <w:t>270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rFonts w:hint="eastAsia" w:cs="Times New Roman"/>
                <w:color w:val="auto"/>
                <w:sz w:val="24"/>
                <w:szCs w:val="24"/>
                <w:highlight w:val="none"/>
                <w:lang w:val="en-US" w:eastAsia="zh-CN"/>
              </w:rPr>
              <w:t>）</w:t>
            </w:r>
            <w:r>
              <w:rPr>
                <w:rFonts w:hint="eastAsia"/>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color w:val="auto"/>
                <w:lang w:val="en-US"/>
              </w:rPr>
            </w:pPr>
            <w:r>
              <w:rPr>
                <w:rFonts w:hint="default"/>
                <w:color w:val="auto"/>
                <w:lang w:val="en-US" w:eastAsia="zh-CN"/>
              </w:rPr>
              <w:t>生活用水：本项目</w:t>
            </w:r>
            <w:r>
              <w:rPr>
                <w:rFonts w:hint="eastAsia"/>
                <w:color w:val="auto"/>
                <w:lang w:val="en-US" w:eastAsia="zh-CN"/>
              </w:rPr>
              <w:t>设置办公生活区</w:t>
            </w:r>
            <w:r>
              <w:rPr>
                <w:rFonts w:hint="default"/>
                <w:color w:val="auto"/>
                <w:lang w:val="en-US" w:eastAsia="zh-CN"/>
              </w:rPr>
              <w:t>。</w:t>
            </w:r>
            <w:r>
              <w:rPr>
                <w:rFonts w:hint="eastAsia"/>
                <w:color w:val="auto"/>
                <w:lang w:val="en-US" w:eastAsia="zh-CN"/>
              </w:rPr>
              <w:t>厕所设置化粪池。</w:t>
            </w:r>
            <w:r>
              <w:rPr>
                <w:rFonts w:hint="default"/>
                <w:color w:val="auto"/>
                <w:lang w:val="en-US" w:eastAsia="zh-CN"/>
              </w:rPr>
              <w:t>生活用水量按照每人每天</w:t>
            </w:r>
            <w:r>
              <w:rPr>
                <w:rFonts w:hint="eastAsia"/>
                <w:color w:val="auto"/>
                <w:lang w:val="en-US" w:eastAsia="zh-CN"/>
              </w:rPr>
              <w:t>3</w:t>
            </w:r>
            <w:r>
              <w:rPr>
                <w:rFonts w:hint="default"/>
                <w:color w:val="auto"/>
                <w:lang w:val="en-US" w:eastAsia="zh-CN"/>
              </w:rPr>
              <w:t>0L计，</w:t>
            </w:r>
            <w:r>
              <w:rPr>
                <w:rFonts w:hint="eastAsia"/>
                <w:color w:val="auto"/>
                <w:lang w:val="en-US" w:eastAsia="zh-CN"/>
              </w:rPr>
              <w:t>职工共计20</w:t>
            </w:r>
            <w:r>
              <w:rPr>
                <w:rFonts w:hint="default"/>
                <w:color w:val="auto"/>
                <w:lang w:val="en-US" w:eastAsia="zh-CN"/>
              </w:rPr>
              <w:t>人，则生活用水量为</w:t>
            </w:r>
            <w:r>
              <w:rPr>
                <w:rFonts w:hint="eastAsia"/>
                <w:color w:val="auto"/>
                <w:lang w:val="en-US" w:eastAsia="zh-CN"/>
              </w:rPr>
              <w:t>0.6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olor w:val="auto"/>
                <w:lang w:val="en-US" w:eastAsia="zh-CN"/>
              </w:rPr>
              <w:t>90</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w:t>
            </w:r>
            <w:r>
              <w:rPr>
                <w:rFonts w:hint="eastAsia"/>
                <w:color w:val="auto"/>
                <w:lang w:val="en-US" w:eastAsia="zh-CN"/>
              </w:rPr>
              <w:t>a）</w:t>
            </w:r>
            <w:r>
              <w:rPr>
                <w:rFonts w:hint="default"/>
                <w:color w:val="auto"/>
                <w:lang w:val="en-US"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2" w:firstLineChars="200"/>
              <w:jc w:val="left"/>
              <w:textAlignment w:val="auto"/>
              <w:rPr>
                <w:rFonts w:hint="eastAsia" w:ascii="Times New Roman" w:hAnsi="Times New Roman" w:eastAsia="宋体" w:cs="Times New Roman"/>
                <w:color w:val="auto"/>
                <w:kern w:val="0"/>
                <w:sz w:val="24"/>
                <w:szCs w:val="24"/>
                <w:highlight w:val="none"/>
                <w:lang w:eastAsia="zh-CN"/>
              </w:rPr>
            </w:pPr>
            <w:r>
              <w:rPr>
                <w:b/>
                <w:bCs/>
                <w:color w:val="auto"/>
              </w:rPr>
              <w:t>排水</w:t>
            </w:r>
            <w:r>
              <w:rPr>
                <w:rFonts w:hint="eastAsia"/>
                <w:color w:val="auto"/>
              </w:rPr>
              <w:t>：</w:t>
            </w:r>
            <w:r>
              <w:rPr>
                <w:rFonts w:hint="eastAsia"/>
                <w:color w:val="auto"/>
                <w:highlight w:val="none"/>
                <w:lang w:eastAsia="zh-CN"/>
              </w:rPr>
              <w:t>车轮清洗废水产生量为</w:t>
            </w:r>
            <w:r>
              <w:rPr>
                <w:rFonts w:hint="eastAsia"/>
                <w:color w:val="auto"/>
                <w:highlight w:val="none"/>
                <w:lang w:val="en-US" w:eastAsia="zh-CN"/>
              </w:rPr>
              <w:t>1.8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olor w:val="auto"/>
                <w:highlight w:val="none"/>
                <w:lang w:val="en-US" w:eastAsia="zh-CN"/>
              </w:rPr>
              <w:t>270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rFonts w:hint="eastAsia" w:cs="Times New Roman"/>
                <w:color w:val="auto"/>
                <w:sz w:val="24"/>
                <w:szCs w:val="24"/>
                <w:highlight w:val="none"/>
                <w:lang w:val="en-US" w:eastAsia="zh-CN"/>
              </w:rPr>
              <w:t>）</w:t>
            </w:r>
            <w:r>
              <w:rPr>
                <w:rFonts w:hint="eastAsia"/>
                <w:color w:val="auto"/>
                <w:highlight w:val="none"/>
                <w:lang w:eastAsia="zh-CN"/>
              </w:rPr>
              <w:t>，</w:t>
            </w:r>
            <w:r>
              <w:rPr>
                <w:color w:val="auto"/>
                <w:kern w:val="24"/>
                <w:highlight w:val="none"/>
              </w:rPr>
              <w:t>主要污染因子为SS，</w:t>
            </w:r>
            <w:r>
              <w:rPr>
                <w:rFonts w:hint="eastAsia"/>
                <w:color w:val="auto"/>
                <w:highlight w:val="none"/>
                <w:lang w:eastAsia="zh-CN"/>
              </w:rPr>
              <w:t>排入</w:t>
            </w:r>
            <w:r>
              <w:rPr>
                <w:rFonts w:hint="eastAsia"/>
                <w:color w:val="auto"/>
                <w:highlight w:val="none"/>
                <w:lang w:val="en-US" w:eastAsia="zh-CN"/>
              </w:rPr>
              <w:t>配套</w:t>
            </w:r>
            <w:r>
              <w:rPr>
                <w:rFonts w:hint="eastAsia"/>
                <w:color w:val="auto"/>
                <w:highlight w:val="none"/>
                <w:lang w:eastAsia="zh-CN"/>
              </w:rPr>
              <w:t>沉淀池，沉淀后回用于车辆清洗。</w:t>
            </w:r>
            <w:r>
              <w:rPr>
                <w:rFonts w:hint="eastAsia" w:cs="Times New Roman"/>
                <w:color w:val="auto"/>
                <w:sz w:val="24"/>
                <w:szCs w:val="24"/>
                <w:highlight w:val="none"/>
                <w:lang w:eastAsia="zh-CN"/>
              </w:rPr>
              <w:t>原料库、成品库存车间</w:t>
            </w:r>
            <w:r>
              <w:rPr>
                <w:rFonts w:hint="default" w:ascii="Times New Roman" w:hAnsi="Times New Roman" w:eastAsia="宋体" w:cs="Times New Roman"/>
                <w:color w:val="auto"/>
                <w:sz w:val="24"/>
                <w:szCs w:val="24"/>
                <w:highlight w:val="none"/>
                <w:lang w:eastAsia="zh-CN"/>
              </w:rPr>
              <w:t>降尘用水</w:t>
            </w:r>
            <w:r>
              <w:rPr>
                <w:rFonts w:hint="default" w:ascii="Times New Roman" w:hAnsi="Times New Roman" w:eastAsia="宋体" w:cs="Times New Roman"/>
                <w:color w:val="auto"/>
                <w:kern w:val="24"/>
                <w:sz w:val="24"/>
                <w:szCs w:val="24"/>
                <w:highlight w:val="none"/>
                <w:lang w:eastAsia="zh-CN"/>
              </w:rPr>
              <w:t>及厂区洒水抑尘用水</w:t>
            </w:r>
            <w:r>
              <w:rPr>
                <w:rFonts w:hint="default" w:ascii="Times New Roman" w:hAnsi="Times New Roman" w:eastAsia="宋体" w:cs="Times New Roman"/>
                <w:color w:val="auto"/>
                <w:kern w:val="24"/>
                <w:sz w:val="24"/>
                <w:szCs w:val="24"/>
                <w:highlight w:val="none"/>
              </w:rPr>
              <w:t>均被消耗，无废水排放。</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24"/>
                <w:sz w:val="24"/>
                <w:szCs w:val="24"/>
                <w:highlight w:val="none"/>
                <w:lang w:eastAsia="zh-CN"/>
              </w:rPr>
            </w:pPr>
            <w:r>
              <w:rPr>
                <w:rFonts w:hint="default" w:ascii="Times New Roman" w:hAnsi="Times New Roman" w:eastAsia="宋体" w:cs="Times New Roman"/>
                <w:color w:val="auto"/>
                <w:kern w:val="24"/>
                <w:sz w:val="24"/>
                <w:szCs w:val="24"/>
                <w:highlight w:val="none"/>
              </w:rPr>
              <w:t>生活污水安排放系数0.8计算，排放量为</w:t>
            </w:r>
            <w:r>
              <w:rPr>
                <w:rFonts w:hint="eastAsia" w:cs="Times New Roman"/>
                <w:color w:val="auto"/>
                <w:kern w:val="24"/>
                <w:sz w:val="24"/>
                <w:szCs w:val="24"/>
                <w:highlight w:val="none"/>
                <w:lang w:val="en-US" w:eastAsia="zh-CN"/>
              </w:rPr>
              <w:t>0.48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s="Times New Roman"/>
                <w:color w:val="auto"/>
                <w:kern w:val="24"/>
                <w:sz w:val="24"/>
                <w:szCs w:val="24"/>
                <w:highlight w:val="none"/>
                <w:lang w:val="en-US" w:eastAsia="zh-CN"/>
              </w:rPr>
              <w:t>72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kern w:val="24"/>
                <w:sz w:val="24"/>
                <w:szCs w:val="24"/>
                <w:highlight w:val="none"/>
              </w:rPr>
              <w: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kern w:val="24"/>
                <w:sz w:val="24"/>
                <w:szCs w:val="24"/>
                <w:highlight w:val="none"/>
              </w:rPr>
              <w:t>，由于生活污水产生量较少，水质简单</w:t>
            </w:r>
            <w:r>
              <w:rPr>
                <w:rFonts w:hint="eastAsia" w:ascii="Times New Roman" w:hAnsi="Times New Roman" w:eastAsia="宋体" w:cs="Times New Roman"/>
                <w:color w:val="auto"/>
                <w:kern w:val="24"/>
                <w:sz w:val="24"/>
                <w:szCs w:val="24"/>
                <w:highlight w:val="none"/>
                <w:lang w:eastAsia="zh-CN"/>
              </w:rPr>
              <w:t>，</w:t>
            </w:r>
            <w:r>
              <w:rPr>
                <w:rFonts w:hint="eastAsia" w:cs="Times New Roman"/>
                <w:color w:val="auto"/>
                <w:kern w:val="24"/>
                <w:sz w:val="24"/>
                <w:szCs w:val="24"/>
                <w:highlight w:val="none"/>
                <w:lang w:eastAsia="zh-CN"/>
              </w:rPr>
              <w:t>排入化粪池，定期清掏</w:t>
            </w:r>
            <w:r>
              <w:rPr>
                <w:rFonts w:hint="default"/>
                <w:color w:val="auto"/>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rFonts w:cs="Times New Roman"/>
                <w:color w:val="auto"/>
                <w:kern w:val="2"/>
                <w:szCs w:val="22"/>
                <w:lang w:val="en-US" w:bidi="ar-SA"/>
              </w:rPr>
            </w:pPr>
            <w:r>
              <w:rPr>
                <w:color w:val="auto"/>
                <w:kern w:val="2"/>
                <w:szCs w:val="22"/>
                <w:lang w:val="en-US" w:bidi="ar-SA"/>
              </w:rPr>
              <w:t>本项目无生产</w:t>
            </w:r>
            <w:r>
              <w:rPr>
                <w:rFonts w:hint="eastAsia"/>
                <w:color w:val="auto"/>
                <w:kern w:val="2"/>
                <w:szCs w:val="22"/>
                <w:lang w:val="en-US" w:bidi="ar-SA"/>
              </w:rPr>
              <w:t>外排</w:t>
            </w:r>
            <w:r>
              <w:rPr>
                <w:color w:val="auto"/>
                <w:kern w:val="2"/>
                <w:szCs w:val="22"/>
                <w:lang w:val="en-US" w:bidi="ar-SA"/>
              </w:rPr>
              <w:t>。</w:t>
            </w:r>
            <w:r>
              <w:rPr>
                <w:rFonts w:hint="eastAsia"/>
                <w:color w:val="auto"/>
                <w:kern w:val="2"/>
                <w:szCs w:val="22"/>
                <w:lang w:val="en-US" w:bidi="ar-SA"/>
              </w:rPr>
              <w:t>项目给排水</w:t>
            </w:r>
            <w:r>
              <w:rPr>
                <w:rFonts w:cs="Times New Roman"/>
                <w:color w:val="auto"/>
                <w:kern w:val="2"/>
                <w:szCs w:val="22"/>
                <w:lang w:val="en-US" w:bidi="ar-SA"/>
              </w:rPr>
              <w:t>水平衡图见图</w:t>
            </w:r>
            <w:r>
              <w:rPr>
                <w:rFonts w:hint="eastAsia" w:cs="Times New Roman"/>
                <w:color w:val="auto"/>
                <w:kern w:val="2"/>
                <w:szCs w:val="22"/>
                <w:lang w:val="en-US" w:eastAsia="zh-CN" w:bidi="ar-SA"/>
              </w:rPr>
              <w:t>2-1</w:t>
            </w:r>
            <w:r>
              <w:rPr>
                <w:rFonts w:cs="Times New Roman"/>
                <w:color w:val="auto"/>
                <w:kern w:val="2"/>
                <w:szCs w:val="22"/>
                <w:lang w:val="en-US" w:bidi="ar-SA"/>
              </w:rPr>
              <w:t>。</w:t>
            </w:r>
          </w:p>
          <w:p>
            <w:pPr>
              <w:pStyle w:val="20"/>
              <w:keepNext w:val="0"/>
              <w:keepLines w:val="0"/>
              <w:pageBreakBefore w:val="0"/>
              <w:widowControl w:val="0"/>
              <w:kinsoku/>
              <w:wordWrap/>
              <w:overflowPunct/>
              <w:topLinePunct w:val="0"/>
              <w:autoSpaceDE w:val="0"/>
              <w:autoSpaceDN w:val="0"/>
              <w:bidi w:val="0"/>
              <w:spacing w:line="500" w:lineRule="exact"/>
              <w:textAlignment w:val="auto"/>
              <w:rPr>
                <w:rFonts w:hint="eastAsia"/>
                <w:b/>
                <w:bCs/>
                <w:color w:val="0000FF"/>
                <w:lang w:val="en-US" w:eastAsia="zh-CN"/>
              </w:rPr>
            </w:pPr>
            <w:r>
              <w:rPr>
                <w:rFonts w:hint="default" w:ascii="Times New Roman" w:hAnsi="Times New Roman" w:eastAsia="宋体" w:cs="Times New Roman"/>
                <w:color w:val="auto"/>
                <w:kern w:val="0"/>
                <w:sz w:val="24"/>
                <w:szCs w:val="24"/>
                <w:highlight w:val="none"/>
                <w:lang w:eastAsia="zh-CN"/>
              </w:rPr>
              <w:pict>
                <v:shape id="_x0000_s1035" o:spid="_x0000_s1035" o:spt="75" type="#_x0000_t75" style="position:absolute;left:0pt;margin-left:36.5pt;margin-top:-598.85pt;height:187pt;width:336.95pt;mso-wrap-distance-bottom:0pt;mso-wrap-distance-top:0pt;z-index:251669504;mso-width-relative:page;mso-height-relative:page;" o:ole="t" filled="f" o:preferrelative="t" stroked="f" coordsize="21600,21600">
                  <v:path/>
                  <v:fill on="f" focussize="0,0"/>
                  <v:stroke on="f"/>
                  <v:imagedata r:id="rId13" o:title=""/>
                  <o:lock v:ext="edit" aspectratio="t"/>
                  <w10:wrap type="topAndBottom"/>
                </v:shape>
                <o:OLEObject Type="Embed" ProgID="Visio.Drawing.11" ShapeID="_x0000_s1035" DrawAspect="Content" ObjectID="_1468075725" r:id="rId12">
                  <o:LockedField>false</o:LockedField>
                </o:OLEObject>
              </w:pict>
            </w:r>
            <w:r>
              <w:rPr>
                <w:color w:val="0000FF"/>
                <w:sz w:val="24"/>
              </w:rPr>
              <mc:AlternateContent>
                <mc:Choice Requires="wps">
                  <w:drawing>
                    <wp:anchor distT="0" distB="0" distL="114300" distR="114300" simplePos="0" relativeHeight="251662336" behindDoc="0" locked="0" layoutInCell="1" allowOverlap="1">
                      <wp:simplePos x="0" y="0"/>
                      <wp:positionH relativeFrom="column">
                        <wp:posOffset>1186815</wp:posOffset>
                      </wp:positionH>
                      <wp:positionV relativeFrom="paragraph">
                        <wp:posOffset>2282825</wp:posOffset>
                      </wp:positionV>
                      <wp:extent cx="2800350" cy="381000"/>
                      <wp:effectExtent l="0" t="0" r="0" b="0"/>
                      <wp:wrapNone/>
                      <wp:docPr id="3" name="文本框 3"/>
                      <wp:cNvGraphicFramePr/>
                      <a:graphic xmlns:a="http://schemas.openxmlformats.org/drawingml/2006/main">
                        <a:graphicData uri="http://schemas.microsoft.com/office/word/2010/wordprocessingShape">
                          <wps:wsp>
                            <wps:cNvSpPr txBox="1"/>
                            <wps:spPr>
                              <a:xfrm>
                                <a:off x="2515870" y="5206365"/>
                                <a:ext cx="280035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21"/>
                                      <w:szCs w:val="21"/>
                                      <w:lang w:val="en-US" w:eastAsia="zh-CN"/>
                                    </w:rPr>
                                  </w:pPr>
                                  <w:r>
                                    <w:rPr>
                                      <w:rFonts w:hint="eastAsia"/>
                                      <w:b/>
                                      <w:bCs/>
                                      <w:sz w:val="21"/>
                                      <w:szCs w:val="21"/>
                                    </w:rPr>
                                    <w:t>图</w:t>
                                  </w:r>
                                  <w:r>
                                    <w:rPr>
                                      <w:rFonts w:hint="eastAsia"/>
                                      <w:b/>
                                      <w:bCs/>
                                      <w:sz w:val="21"/>
                                      <w:szCs w:val="21"/>
                                      <w:lang w:val="en-US"/>
                                    </w:rPr>
                                    <w:t>2-</w:t>
                                  </w:r>
                                  <w:r>
                                    <w:rPr>
                                      <w:rFonts w:hint="eastAsia"/>
                                      <w:b/>
                                      <w:bCs/>
                                      <w:sz w:val="21"/>
                                      <w:szCs w:val="21"/>
                                      <w:lang w:val="en-US" w:eastAsia="zh-CN"/>
                                    </w:rPr>
                                    <w:t>1</w:t>
                                  </w:r>
                                  <w:r>
                                    <w:rPr>
                                      <w:rFonts w:hint="eastAsia"/>
                                      <w:b/>
                                      <w:bCs/>
                                      <w:sz w:val="21"/>
                                      <w:szCs w:val="21"/>
                                      <w:lang w:val="en-US"/>
                                    </w:rPr>
                                    <w:t>项目给排水水平衡图单位：m</w:t>
                                  </w:r>
                                  <w:r>
                                    <w:rPr>
                                      <w:rFonts w:hint="eastAsia"/>
                                      <w:b/>
                                      <w:bCs/>
                                      <w:sz w:val="21"/>
                                      <w:szCs w:val="21"/>
                                      <w:vertAlign w:val="superscript"/>
                                      <w:lang w:val="en-US"/>
                                    </w:rPr>
                                    <w:t>3</w:t>
                                  </w:r>
                                  <w:r>
                                    <w:rPr>
                                      <w:rFonts w:hint="eastAsia"/>
                                      <w:b/>
                                      <w:bCs/>
                                      <w:sz w:val="21"/>
                                      <w:szCs w:val="21"/>
                                      <w:lang w:val="en-US"/>
                                    </w:rPr>
                                    <w:t>/</w:t>
                                  </w:r>
                                  <w:r>
                                    <w:rPr>
                                      <w:rFonts w:hint="eastAsia"/>
                                      <w:b/>
                                      <w:bCs/>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45pt;margin-top:179.75pt;height:30pt;width:220.5pt;z-index:251662336;mso-width-relative:page;mso-height-relative:page;" fillcolor="#FFFFFF [3201]" filled="t" stroked="f" coordsize="21600,21600" o:gfxdata="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qX6qNUA&#10;AAALAQAADwAAAAAAAAABACAAAAAiAAAAZHJzL2Rvd25yZXYueG1sUEsBAhQAFAAAAAgAh07iQICS&#10;AzJbAgAAmwQAAA4AAAAAAAAAAQAgAAAAJAEAAGRycy9lMm9Eb2MueG1sUEsFBgAAAAAGAAYAWQEA&#10;APEFAAAAAA==&#10;">
                      <v:fill on="t" focussize="0,0"/>
                      <v:stroke on="f" weight="0.5pt"/>
                      <v:imagedata o:title=""/>
                      <o:lock v:ext="edit" aspectratio="f"/>
                      <v:textbox>
                        <w:txbxContent>
                          <w:p>
                            <w:pPr>
                              <w:rPr>
                                <w:rFonts w:hint="eastAsia" w:eastAsia="宋体"/>
                                <w:b/>
                                <w:bCs/>
                                <w:sz w:val="21"/>
                                <w:szCs w:val="21"/>
                                <w:lang w:val="en-US" w:eastAsia="zh-CN"/>
                              </w:rPr>
                            </w:pPr>
                            <w:r>
                              <w:rPr>
                                <w:rFonts w:hint="eastAsia"/>
                                <w:b/>
                                <w:bCs/>
                                <w:sz w:val="21"/>
                                <w:szCs w:val="21"/>
                              </w:rPr>
                              <w:t>图</w:t>
                            </w:r>
                            <w:r>
                              <w:rPr>
                                <w:rFonts w:hint="eastAsia"/>
                                <w:b/>
                                <w:bCs/>
                                <w:sz w:val="21"/>
                                <w:szCs w:val="21"/>
                                <w:lang w:val="en-US"/>
                              </w:rPr>
                              <w:t>2-</w:t>
                            </w:r>
                            <w:r>
                              <w:rPr>
                                <w:rFonts w:hint="eastAsia"/>
                                <w:b/>
                                <w:bCs/>
                                <w:sz w:val="21"/>
                                <w:szCs w:val="21"/>
                                <w:lang w:val="en-US" w:eastAsia="zh-CN"/>
                              </w:rPr>
                              <w:t>1</w:t>
                            </w:r>
                            <w:r>
                              <w:rPr>
                                <w:rFonts w:hint="eastAsia"/>
                                <w:b/>
                                <w:bCs/>
                                <w:sz w:val="21"/>
                                <w:szCs w:val="21"/>
                                <w:lang w:val="en-US"/>
                              </w:rPr>
                              <w:t>项目给排水水平衡图单位：m</w:t>
                            </w:r>
                            <w:r>
                              <w:rPr>
                                <w:rFonts w:hint="eastAsia"/>
                                <w:b/>
                                <w:bCs/>
                                <w:sz w:val="21"/>
                                <w:szCs w:val="21"/>
                                <w:vertAlign w:val="superscript"/>
                                <w:lang w:val="en-US"/>
                              </w:rPr>
                              <w:t>3</w:t>
                            </w:r>
                            <w:r>
                              <w:rPr>
                                <w:rFonts w:hint="eastAsia"/>
                                <w:b/>
                                <w:bCs/>
                                <w:sz w:val="21"/>
                                <w:szCs w:val="21"/>
                                <w:lang w:val="en-US"/>
                              </w:rPr>
                              <w:t>/</w:t>
                            </w:r>
                            <w:r>
                              <w:rPr>
                                <w:rFonts w:hint="eastAsia"/>
                                <w:b/>
                                <w:bCs/>
                                <w:sz w:val="21"/>
                                <w:szCs w:val="21"/>
                                <w:lang w:val="en-US" w:eastAsia="zh-CN"/>
                              </w:rPr>
                              <w:t>d</w:t>
                            </w: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color w:val="auto"/>
                <w:lang w:val="en-US"/>
              </w:rPr>
            </w:pPr>
            <w:r>
              <w:rPr>
                <w:rFonts w:hint="eastAsia"/>
                <w:b/>
                <w:bCs/>
                <w:color w:val="auto"/>
                <w:lang w:val="en-US" w:eastAsia="zh-CN"/>
              </w:rPr>
              <w:t>6</w:t>
            </w:r>
            <w:r>
              <w:rPr>
                <w:rFonts w:hint="eastAsia"/>
                <w:b/>
                <w:bCs/>
                <w:color w:val="auto"/>
                <w:lang w:val="en-US"/>
              </w:rPr>
              <w:t>、劳动定员及工作制度</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rFonts w:hint="default"/>
                <w:color w:val="0000FF"/>
                <w:highlight w:val="none"/>
              </w:rPr>
            </w:pPr>
            <w:r>
              <w:rPr>
                <w:rFonts w:hint="default" w:ascii="Times New Roman" w:hAnsi="Times New Roman" w:cs="Times New Roman"/>
                <w:b w:val="0"/>
                <w:bCs/>
                <w:color w:val="auto"/>
                <w:highlight w:val="none"/>
              </w:rPr>
              <w:t>项目劳动定员</w:t>
            </w:r>
            <w:r>
              <w:rPr>
                <w:rFonts w:hint="eastAsia" w:cs="Times New Roman"/>
                <w:b w:val="0"/>
                <w:bCs/>
                <w:color w:val="auto"/>
                <w:highlight w:val="none"/>
                <w:lang w:val="en-US" w:eastAsia="zh-CN"/>
              </w:rPr>
              <w:t>20</w:t>
            </w:r>
            <w:r>
              <w:rPr>
                <w:rFonts w:hint="default" w:ascii="Times New Roman" w:hAnsi="Times New Roman" w:cs="Times New Roman"/>
                <w:b w:val="0"/>
                <w:bCs/>
                <w:color w:val="auto"/>
                <w:highlight w:val="none"/>
              </w:rPr>
              <w:t>人，年工作</w:t>
            </w:r>
            <w:r>
              <w:rPr>
                <w:rFonts w:hint="eastAsia" w:cs="Times New Roman"/>
                <w:b w:val="0"/>
                <w:bCs/>
                <w:color w:val="auto"/>
                <w:highlight w:val="none"/>
                <w:lang w:val="en-US" w:eastAsia="zh-CN"/>
              </w:rPr>
              <w:t>150</w:t>
            </w:r>
            <w:r>
              <w:rPr>
                <w:rFonts w:hint="default" w:ascii="Times New Roman" w:hAnsi="Times New Roman" w:cs="Times New Roman"/>
                <w:b w:val="0"/>
                <w:bCs/>
                <w:color w:val="auto"/>
                <w:highlight w:val="none"/>
              </w:rPr>
              <w:t>天，采用</w:t>
            </w:r>
            <w:r>
              <w:rPr>
                <w:rFonts w:hint="eastAsia" w:cs="Times New Roman"/>
                <w:b w:val="0"/>
                <w:bCs/>
                <w:color w:val="auto"/>
                <w:highlight w:val="none"/>
                <w:lang w:val="en-US" w:eastAsia="zh-CN"/>
              </w:rPr>
              <w:t>一</w:t>
            </w:r>
            <w:r>
              <w:rPr>
                <w:rFonts w:hint="default" w:ascii="Times New Roman" w:hAnsi="Times New Roman" w:cs="Times New Roman"/>
                <w:b w:val="0"/>
                <w:bCs/>
                <w:color w:val="auto"/>
                <w:highlight w:val="none"/>
              </w:rPr>
              <w:t>班制，每班工</w:t>
            </w:r>
            <w:r>
              <w:rPr>
                <w:rFonts w:hint="default"/>
                <w:color w:val="auto"/>
                <w:highlight w:val="none"/>
              </w:rPr>
              <w:t>作</w:t>
            </w:r>
            <w:r>
              <w:rPr>
                <w:rFonts w:hint="eastAsia"/>
                <w:color w:val="auto"/>
                <w:highlight w:val="none"/>
                <w:lang w:val="en-US" w:eastAsia="zh-CN"/>
              </w:rPr>
              <w:t>10</w:t>
            </w:r>
            <w:r>
              <w:rPr>
                <w:rFonts w:hint="default"/>
                <w:color w:val="auto"/>
                <w:highlight w:val="none"/>
              </w:rPr>
              <w:t>小时。</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2" w:firstLineChars="200"/>
              <w:jc w:val="left"/>
              <w:textAlignment w:val="auto"/>
              <w:rPr>
                <w:color w:val="auto"/>
                <w:lang w:val="en-US"/>
              </w:rPr>
            </w:pPr>
            <w:r>
              <w:rPr>
                <w:rFonts w:hint="eastAsia"/>
                <w:b/>
                <w:bCs/>
                <w:color w:val="auto"/>
                <w:lang w:val="en-US" w:eastAsia="zh-CN"/>
              </w:rPr>
              <w:t>7</w:t>
            </w:r>
            <w:r>
              <w:rPr>
                <w:rFonts w:hint="eastAsia"/>
                <w:b/>
                <w:bCs/>
                <w:color w:val="auto"/>
                <w:lang w:val="en-US"/>
              </w:rPr>
              <w:t>、厂区平面布置</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color w:val="auto"/>
                <w:lang w:val="en-US"/>
              </w:rPr>
            </w:pPr>
            <w:r>
              <w:rPr>
                <w:rFonts w:hint="eastAsia"/>
                <w:color w:val="auto"/>
                <w:lang w:val="en-US"/>
              </w:rPr>
              <w:t>⑴项目厂区平面布置</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default"/>
                <w:color w:val="auto"/>
                <w:highlight w:val="none"/>
                <w:lang w:val="en-US" w:eastAsia="zh-CN"/>
              </w:rPr>
            </w:pPr>
            <w:r>
              <w:rPr>
                <w:rFonts w:hint="eastAsia"/>
                <w:color w:val="auto"/>
                <w:highlight w:val="none"/>
                <w:lang w:val="en-US" w:eastAsia="zh-CN"/>
              </w:rPr>
              <w:t>项目厂区位于</w:t>
            </w:r>
            <w:r>
              <w:rPr>
                <w:rFonts w:hint="eastAsia"/>
                <w:color w:val="auto"/>
                <w:highlight w:val="none"/>
                <w:lang w:eastAsia="zh-CN"/>
              </w:rPr>
              <w:t>河北省承德市</w:t>
            </w:r>
            <w:r>
              <w:rPr>
                <w:rFonts w:hint="eastAsia"/>
                <w:color w:val="auto"/>
                <w:highlight w:val="none"/>
                <w:lang w:val="en-US" w:eastAsia="zh-CN"/>
              </w:rPr>
              <w:t>兴隆县北营房镇北营房村</w:t>
            </w:r>
            <w:r>
              <w:rPr>
                <w:rFonts w:hint="eastAsia"/>
                <w:color w:val="auto"/>
                <w:highlight w:val="none"/>
                <w:lang w:eastAsia="zh-CN"/>
              </w:rPr>
              <w:t>。厂内由</w:t>
            </w:r>
            <w:r>
              <w:rPr>
                <w:rFonts w:hint="eastAsia"/>
                <w:color w:val="auto"/>
                <w:highlight w:val="none"/>
                <w:lang w:val="en-US" w:eastAsia="zh-CN"/>
              </w:rPr>
              <w:t>西到东</w:t>
            </w:r>
            <w:r>
              <w:rPr>
                <w:rFonts w:hint="eastAsia"/>
                <w:color w:val="auto"/>
                <w:highlight w:val="none"/>
                <w:lang w:eastAsia="zh-CN"/>
              </w:rPr>
              <w:t>依次为原料库、上料仓、封闭式生产车间、成品库存车间、办公生活区，危险废物贮存间和洗车平台在厂区南侧。</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color w:val="auto"/>
                <w:lang w:val="en-US"/>
              </w:rPr>
            </w:pPr>
            <w:r>
              <w:rPr>
                <w:rFonts w:hint="eastAsia"/>
                <w:color w:val="auto"/>
                <w:lang w:val="en-US"/>
              </w:rPr>
              <w:t>⑵项目厂区周边关系</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both"/>
              <w:textAlignment w:val="auto"/>
              <w:rPr>
                <w:rFonts w:hint="eastAsia" w:eastAsia="宋体"/>
                <w:color w:val="auto"/>
                <w:lang w:val="en-US" w:eastAsia="zh-CN"/>
              </w:rPr>
            </w:pPr>
            <w:r>
              <w:rPr>
                <w:rFonts w:hint="eastAsia"/>
                <w:color w:val="auto"/>
                <w:lang w:val="en-US"/>
              </w:rPr>
              <w:t>厂区</w:t>
            </w:r>
            <w:r>
              <w:rPr>
                <w:rFonts w:hint="eastAsia"/>
                <w:color w:val="auto"/>
                <w:lang w:val="en-US" w:eastAsia="zh-CN"/>
              </w:rPr>
              <w:t>东、</w:t>
            </w:r>
            <w:r>
              <w:rPr>
                <w:color w:val="auto"/>
                <w:kern w:val="24"/>
                <w:sz w:val="24"/>
              </w:rPr>
              <w:t>西</w:t>
            </w:r>
            <w:r>
              <w:rPr>
                <w:rFonts w:hint="eastAsia"/>
                <w:color w:val="auto"/>
                <w:kern w:val="24"/>
                <w:sz w:val="24"/>
                <w:lang w:eastAsia="zh-CN"/>
              </w:rPr>
              <w:t>、南、北</w:t>
            </w:r>
            <w:r>
              <w:rPr>
                <w:color w:val="auto"/>
                <w:kern w:val="24"/>
                <w:sz w:val="24"/>
              </w:rPr>
              <w:t>侧为山坡</w:t>
            </w:r>
            <w:r>
              <w:rPr>
                <w:rFonts w:hint="eastAsia"/>
                <w:color w:val="auto"/>
                <w:kern w:val="24"/>
                <w:sz w:val="24"/>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2" w:firstLineChars="200"/>
              <w:jc w:val="left"/>
              <w:textAlignment w:val="auto"/>
              <w:rPr>
                <w:lang w:val="en-US"/>
              </w:rPr>
            </w:pPr>
            <w:r>
              <w:rPr>
                <w:rFonts w:hint="eastAsia"/>
                <w:b/>
                <w:bCs/>
                <w:lang w:val="en-US"/>
              </w:rPr>
              <w:t>项目地理位置图见附图</w:t>
            </w:r>
            <w:r>
              <w:rPr>
                <w:rFonts w:hint="eastAsia"/>
                <w:b/>
                <w:bCs/>
                <w:lang w:val="en-US" w:eastAsia="zh-CN"/>
              </w:rPr>
              <w:t>1</w:t>
            </w:r>
            <w:r>
              <w:rPr>
                <w:rFonts w:hint="eastAsia"/>
                <w:b/>
                <w:bCs/>
                <w:lang w:val="en-US"/>
              </w:rPr>
              <w:t>、平面布置图见附图</w:t>
            </w:r>
            <w:r>
              <w:rPr>
                <w:rFonts w:hint="eastAsia"/>
                <w:b/>
                <w:bCs/>
                <w:lang w:val="en-US" w:eastAsia="zh-CN"/>
              </w:rPr>
              <w:t>2</w:t>
            </w:r>
            <w:r>
              <w:rPr>
                <w:rFonts w:hint="eastAsia"/>
                <w:b/>
                <w:bCs/>
                <w:lang w:val="en-US"/>
              </w:rPr>
              <w:t>、周边关系图见附图</w:t>
            </w:r>
            <w:r>
              <w:rPr>
                <w:rFonts w:hint="eastAsia"/>
                <w:b/>
                <w:bCs/>
                <w:lang w:val="en-US" w:eastAsia="zh-CN"/>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2" w:hRule="atLeast"/>
        </w:trPr>
        <w:tc>
          <w:tcPr>
            <w:tcW w:w="631" w:type="dxa"/>
            <w:tcBorders>
              <w:top w:val="single" w:color="000000" w:sz="4" w:space="0"/>
              <w:bottom w:val="single" w:color="000000" w:sz="4" w:space="0"/>
              <w:right w:val="single" w:color="000000" w:sz="4" w:space="0"/>
            </w:tcBorders>
            <w:vAlign w:val="center"/>
          </w:tcPr>
          <w:p>
            <w:r>
              <w:t>工艺流程和产排污环节</w:t>
            </w:r>
          </w:p>
        </w:tc>
        <w:tc>
          <w:tcPr>
            <w:tcW w:w="8353"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b/>
                <w:bCs/>
              </w:rPr>
            </w:pPr>
            <w:r>
              <w:rPr>
                <w:rFonts w:hint="eastAsia"/>
                <w:b/>
                <w:bCs/>
                <w:lang w:val="en-US" w:eastAsia="zh-CN"/>
              </w:rPr>
              <w:t>1、</w:t>
            </w:r>
            <w:r>
              <w:rPr>
                <w:b/>
                <w:bCs/>
              </w:rPr>
              <w:t>施工期</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w:pict>
                <v:shape id="_x0000_s1027" o:spid="_x0000_s1027" o:spt="75" type="#_x0000_t75" style="position:absolute;left:0pt;margin-left:34.1pt;margin-top:18.95pt;height:197.25pt;width:337.55pt;z-index:-251651072;mso-width-relative:page;mso-height-relative:page;" o:ole="t" filled="f" o:preferrelative="t" stroked="f" coordsize="21600,21600">
                  <v:path/>
                  <v:fill on="f" focussize="0,0"/>
                  <v:stroke on="f" joinstyle="miter"/>
                  <v:imagedata r:id="rId15" o:title=""/>
                  <o:lock v:ext="edit" aspectratio="t"/>
                </v:shape>
                <o:OLEObject Type="Embed" ProgID="Visio.Drawing.11" ShapeID="_x0000_s1027" DrawAspect="Content" ObjectID="_1468075726" r:id="rId14">
                  <o:LockedField>false</o:LockedField>
                </o:OLEObject>
              </w:pict>
            </w:r>
            <w:r>
              <w:t>本项目施工期工艺流程及产污节点如下：</w:t>
            </w:r>
          </w:p>
          <w:p>
            <w:pPr>
              <w:pStyle w:val="5"/>
            </w:pPr>
          </w:p>
          <w:p/>
          <w:p>
            <w:pPr>
              <w:pStyle w:val="5"/>
            </w:pPr>
          </w:p>
          <w:p>
            <w:pPr>
              <w:pStyle w:val="5"/>
            </w:pPr>
          </w:p>
          <w:p/>
          <w:p>
            <w:pPr>
              <w:pStyle w:val="2"/>
            </w:pPr>
          </w:p>
          <w:p>
            <w:pPr>
              <w:pStyle w:val="2"/>
            </w:pPr>
          </w:p>
          <w:p>
            <w:pPr>
              <w:pStyle w:val="2"/>
            </w:pPr>
          </w:p>
          <w:p>
            <w:pPr>
              <w:pStyle w:val="2"/>
            </w:pPr>
          </w:p>
          <w:p>
            <w:pPr>
              <w:pStyle w:val="2"/>
            </w:pPr>
            <w:r>
              <mc:AlternateContent>
                <mc:Choice Requires="wps">
                  <w:drawing>
                    <wp:anchor distT="0" distB="0" distL="114300" distR="114300" simplePos="0" relativeHeight="251661312" behindDoc="0" locked="0" layoutInCell="1" allowOverlap="1">
                      <wp:simplePos x="0" y="0"/>
                      <wp:positionH relativeFrom="column">
                        <wp:posOffset>1232535</wp:posOffset>
                      </wp:positionH>
                      <wp:positionV relativeFrom="paragraph">
                        <wp:posOffset>139065</wp:posOffset>
                      </wp:positionV>
                      <wp:extent cx="2762250" cy="4000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762250" cy="400050"/>
                              </a:xfrm>
                              <a:prstGeom prst="rect">
                                <a:avLst/>
                              </a:prstGeom>
                              <a:noFill/>
                              <a:ln w="12700">
                                <a:noFill/>
                              </a:ln>
                            </wps:spPr>
                            <wps:txbx>
                              <w:txbxContent>
                                <w:p>
                                  <w:pPr>
                                    <w:rPr>
                                      <w:b/>
                                      <w:bCs/>
                                      <w:sz w:val="21"/>
                                      <w:szCs w:val="21"/>
                                      <w:lang w:val="en-US"/>
                                    </w:rPr>
                                  </w:pPr>
                                  <w:r>
                                    <w:rPr>
                                      <w:rFonts w:hint="eastAsia"/>
                                      <w:b/>
                                      <w:bCs/>
                                      <w:sz w:val="21"/>
                                      <w:szCs w:val="21"/>
                                    </w:rPr>
                                    <w:t>图</w:t>
                                  </w:r>
                                  <w:r>
                                    <w:rPr>
                                      <w:rFonts w:hint="eastAsia"/>
                                      <w:b/>
                                      <w:bCs/>
                                      <w:sz w:val="21"/>
                                      <w:szCs w:val="21"/>
                                      <w:lang w:val="en-US"/>
                                    </w:rPr>
                                    <w:t>2-</w:t>
                                  </w:r>
                                  <w:r>
                                    <w:rPr>
                                      <w:rFonts w:hint="eastAsia"/>
                                      <w:b/>
                                      <w:bCs/>
                                      <w:sz w:val="21"/>
                                      <w:szCs w:val="21"/>
                                      <w:lang w:val="en-US" w:eastAsia="zh-CN"/>
                                    </w:rPr>
                                    <w:t>2</w:t>
                                  </w:r>
                                  <w:r>
                                    <w:rPr>
                                      <w:rFonts w:hint="eastAsia"/>
                                      <w:b/>
                                      <w:bCs/>
                                      <w:sz w:val="21"/>
                                      <w:szCs w:val="21"/>
                                      <w:lang w:val="en-US"/>
                                    </w:rPr>
                                    <w:t>施工期工艺流程图</w:t>
                                  </w:r>
                                </w:p>
                              </w:txbxContent>
                            </wps:txbx>
                            <wps:bodyPr upright="1"/>
                          </wps:wsp>
                        </a:graphicData>
                      </a:graphic>
                    </wp:anchor>
                  </w:drawing>
                </mc:Choice>
                <mc:Fallback>
                  <w:pict>
                    <v:shape id="_x0000_s1026" o:spid="_x0000_s1026" o:spt="202" type="#_x0000_t202" style="position:absolute;left:0pt;margin-left:97.05pt;margin-top:10.95pt;height:31.5pt;width:217.5pt;z-index:251661312;mso-width-relative:page;mso-height-relative:page;" filled="f" stroked="f" coordsize="21600,21600" o:gfxdata="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MZEvtcAAAAJAQAADwAAAAAAAAABACAAAAAiAAAAZHJzL2Rvd25yZXYueG1sUEsBAhQAFAAAAAgA&#10;h07iQNL2cYm0AQAAWAMAAA4AAAAAAAAAAQAgAAAAJgEAAGRycy9lMm9Eb2MueG1sUEsFBgAAAAAG&#10;AAYAWQEAAEwFAAAAAA==&#10;">
                      <v:fill on="f" focussize="0,0"/>
                      <v:stroke on="f" weight="1pt"/>
                      <v:imagedata o:title=""/>
                      <o:lock v:ext="edit" aspectratio="f"/>
                      <v:textbox>
                        <w:txbxContent>
                          <w:p>
                            <w:pPr>
                              <w:rPr>
                                <w:b/>
                                <w:bCs/>
                                <w:sz w:val="21"/>
                                <w:szCs w:val="21"/>
                                <w:lang w:val="en-US"/>
                              </w:rPr>
                            </w:pPr>
                            <w:r>
                              <w:rPr>
                                <w:rFonts w:hint="eastAsia"/>
                                <w:b/>
                                <w:bCs/>
                                <w:sz w:val="21"/>
                                <w:szCs w:val="21"/>
                              </w:rPr>
                              <w:t>图</w:t>
                            </w:r>
                            <w:r>
                              <w:rPr>
                                <w:rFonts w:hint="eastAsia"/>
                                <w:b/>
                                <w:bCs/>
                                <w:sz w:val="21"/>
                                <w:szCs w:val="21"/>
                                <w:lang w:val="en-US"/>
                              </w:rPr>
                              <w:t>2-</w:t>
                            </w:r>
                            <w:r>
                              <w:rPr>
                                <w:rFonts w:hint="eastAsia"/>
                                <w:b/>
                                <w:bCs/>
                                <w:sz w:val="21"/>
                                <w:szCs w:val="21"/>
                                <w:lang w:val="en-US" w:eastAsia="zh-CN"/>
                              </w:rPr>
                              <w:t>2</w:t>
                            </w:r>
                            <w:r>
                              <w:rPr>
                                <w:rFonts w:hint="eastAsia"/>
                                <w:b/>
                                <w:bCs/>
                                <w:sz w:val="21"/>
                                <w:szCs w:val="21"/>
                                <w:lang w:val="en-US"/>
                              </w:rPr>
                              <w:t>施工期工艺流程图</w:t>
                            </w:r>
                          </w:p>
                        </w:txbxContent>
                      </v:textbox>
                    </v:shape>
                  </w:pict>
                </mc:Fallback>
              </mc:AlternateContent>
            </w:r>
          </w:p>
          <w:p>
            <w:pPr>
              <w:pStyle w:val="2"/>
            </w:pPr>
          </w:p>
          <w:p>
            <w:pPr>
              <w:pStyle w:val="2"/>
            </w:pP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w:t>工艺简介：</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w:t>场地清理阶段：包括</w:t>
            </w:r>
            <w:r>
              <w:rPr>
                <w:rFonts w:hint="eastAsia"/>
              </w:rPr>
              <w:t>土地平整、</w:t>
            </w:r>
            <w:r>
              <w:t>清运工程</w:t>
            </w:r>
            <w:r>
              <w:rPr>
                <w:rFonts w:hint="eastAsia"/>
              </w:rPr>
              <w:t>建筑</w:t>
            </w:r>
            <w:r>
              <w:t>垃圾等；</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基础工程</w:t>
            </w:r>
            <w:r>
              <w:t>阶段：包括挖掘、打桩、砌筑基础等；</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w:t>主体</w:t>
            </w:r>
            <w:r>
              <w:rPr>
                <w:rFonts w:hint="eastAsia"/>
              </w:rPr>
              <w:t>工程</w:t>
            </w:r>
            <w:r>
              <w:t>阶段：包括钢筋、混凝土工程，砌体工程、回填土；</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装饰工程</w:t>
            </w:r>
            <w:r>
              <w:t>阶段：包括</w:t>
            </w:r>
            <w:r>
              <w:rPr>
                <w:rFonts w:hint="eastAsia"/>
              </w:rPr>
              <w:t>建筑物内外部装修、厂区地面清理、硬化等。</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设备安装阶段：主辅设备安装。</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工程验收阶段：检查厂区主辅工程建设，设备验收前维护等。</w:t>
            </w:r>
          </w:p>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b/>
                <w:bCs/>
                <w:color w:val="auto"/>
              </w:rPr>
            </w:pPr>
            <w:r>
              <w:rPr>
                <w:rFonts w:hint="eastAsia"/>
                <w:b/>
                <w:bCs/>
                <w:color w:val="auto"/>
                <w:lang w:val="en-US" w:eastAsia="zh-CN"/>
              </w:rPr>
              <w:t>2、</w:t>
            </w:r>
            <w:r>
              <w:rPr>
                <w:rFonts w:hint="eastAsia"/>
                <w:b/>
                <w:bCs/>
                <w:color w:val="auto"/>
              </w:rPr>
              <w:t>运营期</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color w:val="auto"/>
              </w:rPr>
            </w:pPr>
            <w:r>
              <w:rPr>
                <w:rFonts w:hint="eastAsia"/>
                <w:color w:val="auto"/>
              </w:rPr>
              <w:t>生产工艺流程及排污节点详见图</w:t>
            </w:r>
            <w:r>
              <w:rPr>
                <w:rFonts w:hint="eastAsia"/>
                <w:color w:val="auto"/>
                <w:lang w:val="en-US"/>
              </w:rPr>
              <w:t>2-</w:t>
            </w:r>
            <w:r>
              <w:rPr>
                <w:rFonts w:hint="eastAsia"/>
                <w:color w:val="auto"/>
                <w:lang w:val="en-US" w:eastAsia="zh-CN"/>
              </w:rPr>
              <w:t>3</w:t>
            </w:r>
            <w:r>
              <w:rPr>
                <w:rFonts w:hint="eastAsia"/>
                <w:color w:val="auto"/>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本项目是以</w:t>
            </w:r>
            <w:r>
              <w:rPr>
                <w:rFonts w:hint="eastAsia" w:cs="Times New Roman"/>
                <w:color w:val="auto"/>
                <w:lang w:eastAsia="zh-CN"/>
              </w:rPr>
              <w:t>承平高速李家营路基弃渣</w:t>
            </w:r>
            <w:r>
              <w:rPr>
                <w:rFonts w:hint="default" w:ascii="Times New Roman" w:hAnsi="Times New Roman" w:eastAsia="宋体" w:cs="Times New Roman"/>
                <w:color w:val="auto"/>
                <w:sz w:val="24"/>
                <w:szCs w:val="24"/>
              </w:rPr>
              <w:t>为原材料</w:t>
            </w:r>
            <w:r>
              <w:rPr>
                <w:rFonts w:hint="default" w:ascii="Times New Roman" w:hAnsi="Times New Roman" w:eastAsia="宋体" w:cs="Times New Roman"/>
                <w:color w:val="auto"/>
                <w:sz w:val="24"/>
                <w:szCs w:val="24"/>
                <w:lang w:val="en-US" w:eastAsia="zh-CN"/>
              </w:rPr>
              <w:t>进行加工</w:t>
            </w:r>
            <w:r>
              <w:rPr>
                <w:rFonts w:hint="default" w:ascii="Times New Roman" w:hAnsi="Times New Roman" w:eastAsia="宋体" w:cs="Times New Roman"/>
                <w:color w:val="auto"/>
                <w:sz w:val="24"/>
                <w:szCs w:val="24"/>
              </w:rPr>
              <w:t>，经过破碎、筛分等工序</w:t>
            </w:r>
            <w:r>
              <w:rPr>
                <w:rFonts w:hint="default" w:ascii="Times New Roman" w:hAnsi="Times New Roman" w:eastAsia="宋体" w:cs="Times New Roman"/>
                <w:color w:val="auto"/>
                <w:kern w:val="24"/>
                <w:sz w:val="24"/>
                <w:szCs w:val="24"/>
                <w:lang w:eastAsia="zh-CN"/>
              </w:rPr>
              <w:t>年生产</w:t>
            </w:r>
            <w:r>
              <w:rPr>
                <w:rFonts w:hint="eastAsia" w:cs="Times New Roman"/>
                <w:color w:val="auto"/>
                <w:kern w:val="24"/>
                <w:sz w:val="24"/>
                <w:szCs w:val="24"/>
                <w:lang w:val="en-US" w:eastAsia="zh-CN"/>
              </w:rPr>
              <w:t>80</w:t>
            </w:r>
            <w:r>
              <w:rPr>
                <w:rFonts w:hint="eastAsia" w:ascii="Times New Roman" w:hAnsi="Times New Roman" w:eastAsia="宋体" w:cs="Times New Roman"/>
                <w:color w:val="auto"/>
                <w:kern w:val="24"/>
                <w:sz w:val="24"/>
                <w:szCs w:val="24"/>
                <w:lang w:val="en-US" w:eastAsia="zh-CN"/>
              </w:rPr>
              <w:t>万吨砂石料</w:t>
            </w:r>
            <w:r>
              <w:rPr>
                <w:rFonts w:hint="default" w:ascii="Times New Roman" w:hAnsi="Times New Roman" w:eastAsia="宋体" w:cs="Times New Roman"/>
                <w:color w:val="auto"/>
                <w:kern w:val="24"/>
                <w:sz w:val="24"/>
                <w:szCs w:val="24"/>
                <w:lang w:val="en-US" w:eastAsia="zh-CN"/>
              </w:rPr>
              <w:t>，</w:t>
            </w:r>
            <w:r>
              <w:rPr>
                <w:rFonts w:hint="default" w:ascii="Times New Roman" w:hAnsi="Times New Roman" w:eastAsia="宋体" w:cs="Times New Roman"/>
                <w:color w:val="auto"/>
                <w:sz w:val="24"/>
                <w:szCs w:val="24"/>
              </w:rPr>
              <w:t>粒径范围</w:t>
            </w:r>
            <w:r>
              <w:rPr>
                <w:rFonts w:hint="default"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5-10m</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10-20m</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30</w:t>
            </w:r>
            <w:r>
              <w:rPr>
                <w:rFonts w:hint="eastAsia"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eastAsia="zh-CN"/>
              </w:rPr>
              <w:t>石子及</w:t>
            </w:r>
            <w:r>
              <w:rPr>
                <w:rFonts w:hint="eastAsia" w:ascii="Times New Roman" w:hAnsi="Times New Roman" w:eastAsia="宋体" w:cs="Times New Roman"/>
                <w:color w:val="auto"/>
                <w:sz w:val="24"/>
                <w:szCs w:val="24"/>
                <w:lang w:val="en-US" w:eastAsia="zh-CN"/>
              </w:rPr>
              <w:t>0-5</w:t>
            </w:r>
            <w:r>
              <w:rPr>
                <w:rFonts w:hint="eastAsia" w:cs="Times New Roman"/>
                <w:color w:val="auto"/>
                <w:sz w:val="24"/>
                <w:szCs w:val="24"/>
                <w:lang w:val="en-US" w:eastAsia="zh-CN"/>
              </w:rPr>
              <w:t>m</w:t>
            </w:r>
            <w:r>
              <w:rPr>
                <w:rFonts w:hint="default"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lang w:val="en-US" w:eastAsia="zh-CN"/>
              </w:rPr>
              <w:t>以下的</w:t>
            </w:r>
            <w:r>
              <w:rPr>
                <w:rFonts w:hint="default" w:ascii="Times New Roman" w:hAnsi="Times New Roman" w:eastAsia="宋体" w:cs="Times New Roman"/>
                <w:color w:val="auto"/>
                <w:sz w:val="24"/>
                <w:szCs w:val="24"/>
                <w:lang w:eastAsia="zh-CN"/>
              </w:rPr>
              <w:t>砂子</w:t>
            </w:r>
            <w:r>
              <w:rPr>
                <w:rFonts w:hint="default" w:ascii="Times New Roman" w:hAnsi="Times New Roman" w:eastAsia="宋体" w:cs="Times New Roman"/>
                <w:color w:val="auto"/>
                <w:sz w:val="24"/>
                <w:szCs w:val="24"/>
              </w:rPr>
              <w:t>，具体工艺流程如下：</w:t>
            </w:r>
          </w:p>
          <w:p>
            <w:pPr>
              <w:keepNext w:val="0"/>
              <w:keepLines w:val="0"/>
              <w:pageBreakBefore w:val="0"/>
              <w:widowControl w:val="0"/>
              <w:kinsoku/>
              <w:wordWrap/>
              <w:overflowPunct/>
              <w:topLinePunct w:val="0"/>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上料</w:t>
            </w:r>
            <w:r>
              <w:rPr>
                <w:rFonts w:hint="default" w:ascii="Times New Roman" w:hAnsi="Times New Roman" w:eastAsia="宋体" w:cs="Times New Roman"/>
                <w:color w:val="auto"/>
                <w:sz w:val="24"/>
                <w:szCs w:val="24"/>
                <w:lang w:eastAsia="zh-CN"/>
              </w:rPr>
              <w:t>破碎</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原料由运输车运入</w:t>
            </w:r>
            <w:r>
              <w:rPr>
                <w:rFonts w:hint="eastAsia" w:cs="Times New Roman"/>
                <w:color w:val="auto"/>
                <w:sz w:val="24"/>
                <w:szCs w:val="24"/>
                <w:lang w:val="en-US" w:eastAsia="zh-CN"/>
              </w:rPr>
              <w:t>原料库</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由转载机铲运至</w:t>
            </w:r>
            <w:r>
              <w:rPr>
                <w:rFonts w:hint="default" w:ascii="Times New Roman" w:hAnsi="Times New Roman" w:eastAsia="宋体" w:cs="Times New Roman"/>
                <w:color w:val="auto"/>
                <w:sz w:val="24"/>
                <w:szCs w:val="24"/>
                <w:lang w:eastAsia="zh-CN"/>
              </w:rPr>
              <w:t>鄂式破碎机上方的</w:t>
            </w:r>
            <w:r>
              <w:rPr>
                <w:rFonts w:hint="default" w:ascii="Times New Roman" w:hAnsi="Times New Roman" w:eastAsia="宋体" w:cs="Times New Roman"/>
                <w:color w:val="auto"/>
                <w:sz w:val="24"/>
                <w:szCs w:val="24"/>
                <w:lang w:val="en-US" w:eastAsia="zh-CN"/>
              </w:rPr>
              <w:t>上料斗中，上料斗中物料进入</w:t>
            </w:r>
            <w:r>
              <w:rPr>
                <w:rFonts w:hint="default" w:ascii="Times New Roman" w:hAnsi="Times New Roman" w:eastAsia="宋体" w:cs="Times New Roman"/>
                <w:color w:val="auto"/>
                <w:sz w:val="24"/>
                <w:szCs w:val="24"/>
                <w:lang w:eastAsia="zh-CN"/>
              </w:rPr>
              <w:t>鄂式破碎机，通过颚式破碎机进行第一次破碎</w:t>
            </w:r>
            <w:r>
              <w:rPr>
                <w:rFonts w:hint="eastAsia" w:cs="Times New Roman"/>
                <w:color w:val="auto"/>
                <w:sz w:val="24"/>
                <w:szCs w:val="24"/>
                <w:lang w:eastAsia="zh-CN"/>
              </w:rPr>
              <w:t>；</w:t>
            </w:r>
            <w:r>
              <w:rPr>
                <w:rFonts w:hint="eastAsia"/>
                <w:color w:val="auto"/>
                <w:lang w:eastAsia="zh-CN"/>
              </w:rPr>
              <w:t>由皮带在</w:t>
            </w:r>
            <w:r>
              <w:rPr>
                <w:rFonts w:hint="eastAsia" w:ascii="Times New Roman" w:hAnsi="Times New Roman" w:eastAsia="宋体" w:cs="Times New Roman"/>
                <w:color w:val="auto"/>
                <w:sz w:val="24"/>
                <w:szCs w:val="24"/>
                <w:lang w:eastAsia="zh-CN"/>
              </w:rPr>
              <w:t>送</w:t>
            </w:r>
            <w:r>
              <w:rPr>
                <w:rFonts w:hint="default" w:ascii="Times New Roman" w:hAnsi="Times New Roman" w:eastAsia="宋体" w:cs="Times New Roman"/>
                <w:color w:val="auto"/>
                <w:sz w:val="24"/>
                <w:szCs w:val="24"/>
                <w:lang w:eastAsia="zh-CN"/>
              </w:rPr>
              <w:t>至</w:t>
            </w:r>
            <w:r>
              <w:rPr>
                <w:rFonts w:hint="eastAsia" w:cs="Times New Roman"/>
                <w:color w:val="auto"/>
                <w:sz w:val="24"/>
                <w:szCs w:val="24"/>
                <w:lang w:eastAsia="zh-CN"/>
              </w:rPr>
              <w:t>重锤式破碎机</w:t>
            </w:r>
            <w:r>
              <w:rPr>
                <w:rFonts w:hint="eastAsia" w:ascii="Times New Roman" w:hAnsi="Times New Roman" w:eastAsia="宋体" w:cs="Times New Roman"/>
                <w:color w:val="auto"/>
                <w:sz w:val="24"/>
                <w:szCs w:val="24"/>
                <w:lang w:eastAsia="zh-CN"/>
              </w:rPr>
              <w:t>内</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进行第二次破碎</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bidi w:val="0"/>
              <w:adjustRightInd/>
              <w:snapToGrid/>
              <w:spacing w:line="500" w:lineRule="exact"/>
              <w:ind w:firstLine="480" w:firstLineChars="200"/>
              <w:jc w:val="left"/>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筛分：</w:t>
            </w:r>
            <w:r>
              <w:rPr>
                <w:rFonts w:hint="eastAsia" w:ascii="Times New Roman" w:hAnsi="Times New Roman" w:eastAsia="宋体" w:cs="Times New Roman"/>
                <w:color w:val="auto"/>
                <w:sz w:val="24"/>
                <w:szCs w:val="24"/>
                <w:lang w:eastAsia="zh-CN"/>
              </w:rPr>
              <w:t>二次破碎后的物料</w:t>
            </w:r>
            <w:r>
              <w:rPr>
                <w:rFonts w:hint="default" w:ascii="Times New Roman" w:hAnsi="Times New Roman" w:eastAsia="宋体" w:cs="Times New Roman"/>
                <w:color w:val="auto"/>
                <w:sz w:val="24"/>
                <w:szCs w:val="24"/>
              </w:rPr>
              <w:t>通过皮带输送机送至</w:t>
            </w:r>
            <w:r>
              <w:rPr>
                <w:rFonts w:hint="eastAsia" w:cs="Times New Roman"/>
                <w:color w:val="auto"/>
                <w:sz w:val="24"/>
                <w:szCs w:val="24"/>
                <w:lang w:val="en-US" w:eastAsia="zh-CN"/>
              </w:rPr>
              <w:t>2个</w:t>
            </w:r>
            <w:r>
              <w:rPr>
                <w:rFonts w:hint="default" w:ascii="Times New Roman" w:hAnsi="Times New Roman" w:eastAsia="宋体" w:cs="Times New Roman"/>
                <w:color w:val="auto"/>
                <w:sz w:val="24"/>
                <w:szCs w:val="24"/>
                <w:lang w:eastAsia="zh-CN"/>
              </w:rPr>
              <w:t>振动筛</w:t>
            </w:r>
            <w:r>
              <w:rPr>
                <w:rFonts w:hint="eastAsia" w:cs="Times New Roman"/>
                <w:color w:val="auto"/>
                <w:sz w:val="24"/>
                <w:szCs w:val="24"/>
                <w:lang w:eastAsia="zh-CN"/>
              </w:rPr>
              <w:t>中</w:t>
            </w:r>
            <w:r>
              <w:rPr>
                <w:rFonts w:hint="default" w:ascii="Times New Roman" w:hAnsi="Times New Roman" w:eastAsia="宋体" w:cs="Times New Roman"/>
                <w:color w:val="auto"/>
                <w:sz w:val="24"/>
                <w:szCs w:val="24"/>
                <w:lang w:eastAsia="zh-CN"/>
              </w:rPr>
              <w:t>进行筛分，</w:t>
            </w:r>
            <w:r>
              <w:rPr>
                <w:rFonts w:hint="default" w:ascii="Times New Roman" w:hAnsi="Times New Roman" w:eastAsia="宋体" w:cs="Times New Roman"/>
                <w:color w:val="auto"/>
                <w:sz w:val="24"/>
                <w:szCs w:val="24"/>
              </w:rPr>
              <w:t>在筛分机上安装</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层筛网，</w:t>
            </w:r>
            <w:r>
              <w:rPr>
                <w:rFonts w:hint="default" w:ascii="Times New Roman" w:hAnsi="Times New Roman" w:eastAsia="宋体" w:cs="Times New Roman"/>
                <w:color w:val="auto"/>
                <w:sz w:val="24"/>
                <w:szCs w:val="24"/>
                <w:lang w:eastAsia="zh-CN"/>
              </w:rPr>
              <w:t>孔径分别为</w:t>
            </w:r>
            <w:r>
              <w:rPr>
                <w:rFonts w:hint="eastAsia" w:cs="Times New Roman"/>
                <w:color w:val="auto"/>
                <w:sz w:val="24"/>
                <w:szCs w:val="24"/>
                <w:lang w:val="en-US" w:eastAsia="zh-CN"/>
              </w:rPr>
              <w:t>5mm、10m</w:t>
            </w:r>
            <w:r>
              <w:rPr>
                <w:rFonts w:hint="default" w:ascii="Times New Roman" w:hAnsi="Times New Roman" w:eastAsia="宋体" w:cs="Times New Roman"/>
                <w:color w:val="auto"/>
                <w:sz w:val="24"/>
                <w:szCs w:val="24"/>
                <w:lang w:val="en-US" w:eastAsia="zh-CN"/>
              </w:rPr>
              <w:t>m</w:t>
            </w:r>
            <w:r>
              <w:rPr>
                <w:rFonts w:hint="eastAsia" w:cs="Times New Roman"/>
                <w:color w:val="auto"/>
                <w:sz w:val="24"/>
                <w:szCs w:val="24"/>
                <w:lang w:val="en-US" w:eastAsia="zh-CN"/>
              </w:rPr>
              <w:t>、20m</w:t>
            </w:r>
            <w:r>
              <w:rPr>
                <w:rFonts w:hint="default" w:ascii="Times New Roman" w:hAnsi="Times New Roman" w:eastAsia="宋体" w:cs="Times New Roman"/>
                <w:color w:val="auto"/>
                <w:sz w:val="24"/>
                <w:szCs w:val="24"/>
                <w:lang w:val="en-US" w:eastAsia="zh-CN"/>
              </w:rPr>
              <w:t>m</w:t>
            </w:r>
            <w:r>
              <w:rPr>
                <w:rFonts w:hint="eastAsia" w:cs="Times New Roman"/>
                <w:color w:val="auto"/>
                <w:sz w:val="24"/>
                <w:szCs w:val="24"/>
                <w:lang w:val="en-US" w:eastAsia="zh-CN"/>
              </w:rPr>
              <w:t>、30m</w:t>
            </w:r>
            <w:r>
              <w:rPr>
                <w:rFonts w:hint="default" w:ascii="Times New Roman" w:hAnsi="Times New Roman" w:eastAsia="宋体" w:cs="Times New Roman"/>
                <w:color w:val="auto"/>
                <w:sz w:val="24"/>
                <w:szCs w:val="24"/>
                <w:lang w:val="en-US" w:eastAsia="zh-CN"/>
              </w:rPr>
              <w:t>m，筛分后的物料</w:t>
            </w:r>
            <w:r>
              <w:rPr>
                <w:rFonts w:hint="default" w:ascii="Times New Roman" w:hAnsi="Times New Roman" w:eastAsia="宋体" w:cs="Times New Roman"/>
                <w:color w:val="auto"/>
                <w:sz w:val="24"/>
                <w:szCs w:val="24"/>
              </w:rPr>
              <w:t>粒径范围分别为</w:t>
            </w:r>
            <w:r>
              <w:rPr>
                <w:rFonts w:hint="eastAsia" w:ascii="Times New Roman" w:hAnsi="Times New Roman" w:eastAsia="宋体" w:cs="Times New Roman"/>
                <w:color w:val="auto"/>
                <w:sz w:val="24"/>
                <w:szCs w:val="24"/>
                <w:lang w:val="en-US" w:eastAsia="zh-CN"/>
              </w:rPr>
              <w:t>0-5</w:t>
            </w:r>
            <w:r>
              <w:rPr>
                <w:rFonts w:hint="eastAsia" w:cs="Times New Roman"/>
                <w:color w:val="auto"/>
                <w:sz w:val="24"/>
                <w:szCs w:val="24"/>
                <w:lang w:val="en-US" w:eastAsia="zh-CN"/>
              </w:rPr>
              <w:t>m</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val="en-US" w:eastAsia="zh-CN"/>
              </w:rPr>
              <w:t>砂</w:t>
            </w:r>
            <w:r>
              <w:rPr>
                <w:rFonts w:hint="default" w:ascii="Times New Roman" w:hAnsi="Times New Roman" w:eastAsia="宋体" w:cs="Times New Roman"/>
                <w:color w:val="auto"/>
                <w:sz w:val="24"/>
                <w:szCs w:val="24"/>
              </w:rPr>
              <w:t>子</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val="en-US" w:eastAsia="zh-CN"/>
              </w:rPr>
              <w:t>5-10m</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val="en-US" w:eastAsia="zh-CN"/>
              </w:rPr>
              <w:t>的石子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10-20m</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val="en-US" w:eastAsia="zh-CN"/>
              </w:rPr>
              <w:t>的石子</w:t>
            </w:r>
            <w:r>
              <w:rPr>
                <w:rFonts w:hint="eastAsia" w:ascii="Times New Roman" w:hAnsi="Times New Roman" w:eastAsia="宋体" w:cs="Times New Roman"/>
                <w:color w:val="auto"/>
                <w:sz w:val="24"/>
                <w:szCs w:val="24"/>
                <w:lang w:val="en-US" w:eastAsia="zh-CN"/>
              </w:rPr>
              <w:t>和20-30m</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val="en-US" w:eastAsia="zh-CN"/>
              </w:rPr>
              <w:t>的石子</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大于</w:t>
            </w:r>
            <w:r>
              <w:rPr>
                <w:rFonts w:hint="eastAsia" w:cs="Times New Roman"/>
                <w:color w:val="auto"/>
                <w:sz w:val="24"/>
                <w:szCs w:val="24"/>
                <w:lang w:val="en-US" w:eastAsia="zh-CN"/>
              </w:rPr>
              <w:t>30mm</w:t>
            </w:r>
            <w:r>
              <w:rPr>
                <w:rFonts w:hint="default" w:ascii="Times New Roman" w:hAnsi="Times New Roman" w:eastAsia="宋体" w:cs="Times New Roman"/>
                <w:color w:val="auto"/>
                <w:sz w:val="24"/>
                <w:szCs w:val="24"/>
                <w:lang w:val="en-US" w:eastAsia="zh-CN"/>
              </w:rPr>
              <w:t>的石子</w:t>
            </w:r>
            <w:r>
              <w:rPr>
                <w:rFonts w:hint="default" w:ascii="Times New Roman" w:hAnsi="Times New Roman" w:eastAsia="宋体" w:cs="Times New Roman"/>
                <w:color w:val="auto"/>
                <w:sz w:val="24"/>
                <w:szCs w:val="24"/>
              </w:rPr>
              <w:t>由</w:t>
            </w:r>
            <w:r>
              <w:rPr>
                <w:rFonts w:hint="default" w:ascii="Times New Roman" w:hAnsi="Times New Roman" w:eastAsia="宋体" w:cs="Times New Roman"/>
                <w:color w:val="auto"/>
                <w:sz w:val="24"/>
                <w:szCs w:val="24"/>
                <w:lang w:eastAsia="zh-CN"/>
              </w:rPr>
              <w:t>皮带输送机回</w:t>
            </w:r>
            <w:r>
              <w:rPr>
                <w:rFonts w:hint="default" w:ascii="Times New Roman" w:hAnsi="Times New Roman" w:eastAsia="宋体" w:cs="Times New Roman"/>
                <w:color w:val="auto"/>
                <w:sz w:val="24"/>
                <w:szCs w:val="24"/>
              </w:rPr>
              <w:t>送至</w:t>
            </w:r>
            <w:r>
              <w:rPr>
                <w:rFonts w:hint="eastAsia" w:cs="Times New Roman"/>
                <w:color w:val="auto"/>
                <w:sz w:val="24"/>
                <w:szCs w:val="24"/>
                <w:lang w:eastAsia="zh-CN"/>
              </w:rPr>
              <w:t>重锤式破碎机</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进行第</w:t>
            </w:r>
            <w:r>
              <w:rPr>
                <w:rFonts w:hint="eastAsia" w:ascii="Times New Roman" w:hAnsi="Times New Roman" w:eastAsia="宋体" w:cs="Times New Roman"/>
                <w:color w:val="auto"/>
                <w:sz w:val="24"/>
                <w:szCs w:val="24"/>
                <w:lang w:eastAsia="zh-CN"/>
              </w:rPr>
              <w:t>三</w:t>
            </w:r>
            <w:r>
              <w:rPr>
                <w:rFonts w:hint="default" w:ascii="Times New Roman" w:hAnsi="Times New Roman" w:eastAsia="宋体" w:cs="Times New Roman"/>
                <w:color w:val="auto"/>
                <w:sz w:val="24"/>
                <w:szCs w:val="24"/>
                <w:lang w:eastAsia="zh-CN"/>
              </w:rPr>
              <w:t>次破碎，破碎后再次进入筛分</w:t>
            </w:r>
            <w:r>
              <w:rPr>
                <w:rFonts w:hint="default" w:ascii="Times New Roman" w:hAnsi="Times New Roman" w:eastAsia="宋体" w:cs="Times New Roman"/>
                <w:color w:val="auto"/>
                <w:sz w:val="24"/>
                <w:szCs w:val="24"/>
              </w:rPr>
              <w:t>。规格合格的石子</w:t>
            </w:r>
            <w:r>
              <w:rPr>
                <w:rFonts w:hint="default" w:ascii="Times New Roman" w:hAnsi="Times New Roman" w:eastAsia="宋体" w:cs="Times New Roman"/>
                <w:color w:val="auto"/>
                <w:sz w:val="24"/>
                <w:szCs w:val="24"/>
                <w:lang w:eastAsia="zh-CN"/>
              </w:rPr>
              <w:t>通过皮带输送机进入</w:t>
            </w:r>
            <w:r>
              <w:rPr>
                <w:rFonts w:hint="eastAsia" w:cs="Times New Roman"/>
                <w:color w:val="auto"/>
                <w:sz w:val="24"/>
                <w:szCs w:val="24"/>
                <w:lang w:eastAsia="zh-CN"/>
              </w:rPr>
              <w:t>成品库存车间</w:t>
            </w:r>
            <w:r>
              <w:rPr>
                <w:rFonts w:hint="default" w:ascii="Times New Roman" w:hAnsi="Times New Roman" w:eastAsia="宋体" w:cs="Times New Roman"/>
                <w:color w:val="auto"/>
                <w:sz w:val="24"/>
                <w:szCs w:val="24"/>
              </w:rPr>
              <w:t>储存</w:t>
            </w:r>
            <w:r>
              <w:rPr>
                <w:rFonts w:hint="eastAsia" w:cs="Times New Roman"/>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color w:val="auto"/>
                <w:lang w:val="en-US"/>
              </w:rPr>
            </w:pPr>
            <w:r>
              <w:rPr>
                <w:rFonts w:hint="eastAsia"/>
                <w:color w:val="auto"/>
                <w:lang w:val="en-US"/>
              </w:rPr>
              <w:t>本项目生产工艺及产排污节点图：</w:t>
            </w:r>
          </w:p>
          <w:p>
            <w:pPr>
              <w:pStyle w:val="20"/>
              <w:ind w:left="480"/>
              <w:rPr>
                <w:lang w:val="en-US"/>
              </w:rPr>
            </w:pPr>
            <w:r>
              <w:rPr>
                <w:color w:val="auto"/>
              </w:rPr>
              <w:pict>
                <v:shape id="_x0000_s1036" o:spid="_x0000_s1036" o:spt="75" type="#_x0000_t75" style="position:absolute;left:0pt;margin-left:36.35pt;margin-top:6.85pt;height:253.2pt;width:325.4pt;z-index:251670528;mso-width-relative:page;mso-height-relative:page;" o:ole="t" filled="f" o:preferrelative="t" stroked="f" coordsize="21600,21600">
                  <v:path/>
                  <v:fill on="f" focussize="0,0"/>
                  <v:stroke on="f"/>
                  <v:imagedata r:id="rId17" o:title=""/>
                  <o:lock v:ext="edit" aspectratio="f"/>
                </v:shape>
                <o:OLEObject Type="Embed" ProgID="Visio.Drawing.11" ShapeID="_x0000_s1036" DrawAspect="Content" ObjectID="_1468075727" r:id="rId16">
                  <o:LockedField>false</o:LockedField>
                </o:OLEObject>
              </w:pict>
            </w:r>
          </w:p>
          <w:p>
            <w:pPr>
              <w:pStyle w:val="20"/>
              <w:ind w:left="480"/>
              <w:rPr>
                <w:lang w:val="en-US"/>
              </w:rPr>
            </w:pPr>
          </w:p>
          <w:p>
            <w:pPr>
              <w:pStyle w:val="20"/>
              <w:ind w:left="480"/>
              <w:rPr>
                <w:lang w:val="en-US"/>
              </w:rPr>
            </w:pPr>
          </w:p>
          <w:p>
            <w:pPr>
              <w:pStyle w:val="20"/>
              <w:ind w:left="480"/>
              <w:rPr>
                <w:lang w:val="en-US"/>
              </w:rPr>
            </w:pPr>
          </w:p>
          <w:p>
            <w:pPr>
              <w:pStyle w:val="20"/>
              <w:ind w:left="480"/>
              <w:rPr>
                <w:lang w:val="en-US"/>
              </w:rPr>
            </w:pPr>
          </w:p>
          <w:p>
            <w:pPr>
              <w:pStyle w:val="20"/>
              <w:ind w:left="480"/>
              <w:rPr>
                <w:lang w:val="en-US"/>
              </w:rPr>
            </w:pPr>
          </w:p>
          <w:p>
            <w:pPr>
              <w:pStyle w:val="20"/>
              <w:ind w:left="480"/>
              <w:rPr>
                <w:lang w:val="en-US"/>
              </w:rPr>
            </w:pPr>
          </w:p>
          <w:p>
            <w:pPr>
              <w:pStyle w:val="20"/>
              <w:ind w:left="480"/>
              <w:rPr>
                <w:lang w:val="en-US"/>
              </w:rPr>
            </w:pPr>
          </w:p>
          <w:p>
            <w:pPr>
              <w:pStyle w:val="20"/>
              <w:ind w:left="480"/>
              <w:rPr>
                <w:lang w:val="en-US"/>
              </w:rPr>
            </w:pPr>
          </w:p>
          <w:p>
            <w:pPr>
              <w:pStyle w:val="20"/>
              <w:ind w:left="480"/>
              <w:rPr>
                <w:lang w:val="en-US"/>
              </w:rPr>
            </w:pPr>
          </w:p>
          <w:p>
            <w:pPr>
              <w:pStyle w:val="20"/>
              <w:ind w:left="480"/>
              <w:rPr>
                <w:lang w:val="en-US"/>
              </w:rPr>
            </w:pPr>
          </w:p>
          <w:p>
            <w:pPr>
              <w:pStyle w:val="20"/>
              <w:ind w:left="480"/>
              <w:rPr>
                <w:lang w:val="en-US"/>
              </w:rPr>
            </w:pPr>
          </w:p>
          <w:p>
            <w:pPr>
              <w:pStyle w:val="20"/>
              <w:ind w:left="480"/>
              <w:rPr>
                <w:lang w:val="en-US"/>
              </w:rPr>
            </w:pPr>
          </w:p>
          <w:p>
            <w:pPr>
              <w:pStyle w:val="20"/>
              <w:ind w:left="480"/>
              <w:rPr>
                <w:lang w:val="en-US"/>
              </w:rPr>
            </w:pPr>
          </w:p>
          <w:p>
            <w:pPr>
              <w:pStyle w:val="20"/>
              <w:ind w:left="480"/>
              <w:rPr>
                <w:lang w:val="en-US"/>
              </w:rPr>
            </w:pPr>
          </w:p>
          <w:p>
            <w:pPr>
              <w:pStyle w:val="20"/>
              <w:ind w:left="480"/>
              <w:rPr>
                <w:lang w:val="en-US"/>
              </w:rPr>
            </w:pPr>
          </w:p>
          <w:p>
            <w:pPr>
              <w:pStyle w:val="20"/>
              <w:ind w:left="480"/>
            </w:pPr>
            <w:r>
              <mc:AlternateContent>
                <mc:Choice Requires="wps">
                  <w:drawing>
                    <wp:anchor distT="0" distB="0" distL="114300" distR="114300" simplePos="0" relativeHeight="251660288" behindDoc="0" locked="0" layoutInCell="1" allowOverlap="1">
                      <wp:simplePos x="0" y="0"/>
                      <wp:positionH relativeFrom="column">
                        <wp:posOffset>1010285</wp:posOffset>
                      </wp:positionH>
                      <wp:positionV relativeFrom="paragraph">
                        <wp:posOffset>123825</wp:posOffset>
                      </wp:positionV>
                      <wp:extent cx="3304540" cy="1828800"/>
                      <wp:effectExtent l="0" t="0" r="0" b="0"/>
                      <wp:wrapSquare wrapText="bothSides"/>
                      <wp:docPr id="2" name="文本框 2"/>
                      <wp:cNvGraphicFramePr/>
                      <a:graphic xmlns:a="http://schemas.openxmlformats.org/drawingml/2006/main">
                        <a:graphicData uri="http://schemas.microsoft.com/office/word/2010/wordprocessingShape">
                          <wps:wsp>
                            <wps:cNvSpPr txBox="1"/>
                            <wps:spPr>
                              <a:xfrm>
                                <a:off x="0" y="0"/>
                                <a:ext cx="3304540" cy="1828800"/>
                              </a:xfrm>
                              <a:prstGeom prst="rect">
                                <a:avLst/>
                              </a:prstGeom>
                              <a:noFill/>
                              <a:ln w="12700">
                                <a:noFill/>
                              </a:ln>
                            </wps:spPr>
                            <wps:txbx>
                              <w:txbxContent>
                                <w:p>
                                  <w:pPr>
                                    <w:pStyle w:val="8"/>
                                    <w:autoSpaceDE/>
                                    <w:autoSpaceDN/>
                                    <w:spacing w:line="240" w:lineRule="auto"/>
                                    <w:ind w:left="0" w:right="0"/>
                                    <w:jc w:val="center"/>
                                    <w:rPr>
                                      <w:rFonts w:ascii="Times New Roman" w:cs="Times New Roman"/>
                                      <w:b/>
                                      <w:bCs/>
                                      <w:sz w:val="21"/>
                                      <w:szCs w:val="21"/>
                                    </w:rPr>
                                  </w:pPr>
                                  <w:r>
                                    <w:rPr>
                                      <w:rFonts w:ascii="Times New Roman" w:cs="Times New Roman"/>
                                      <w:b/>
                                      <w:bCs/>
                                      <w:sz w:val="21"/>
                                      <w:szCs w:val="21"/>
                                    </w:rPr>
                                    <w:t>图</w:t>
                                  </w:r>
                                  <w:r>
                                    <w:rPr>
                                      <w:rFonts w:hint="eastAsia" w:ascii="Times New Roman" w:cs="Times New Roman"/>
                                      <w:b/>
                                      <w:bCs/>
                                      <w:sz w:val="21"/>
                                      <w:szCs w:val="21"/>
                                      <w:lang w:val="en-US"/>
                                    </w:rPr>
                                    <w:t>2-</w:t>
                                  </w:r>
                                  <w:r>
                                    <w:rPr>
                                      <w:rFonts w:hint="eastAsia" w:ascii="Times New Roman" w:cs="Times New Roman"/>
                                      <w:b/>
                                      <w:bCs/>
                                      <w:sz w:val="21"/>
                                      <w:szCs w:val="21"/>
                                      <w:lang w:val="en-US" w:eastAsia="zh-CN"/>
                                    </w:rPr>
                                    <w:t>3</w:t>
                                  </w:r>
                                  <w:r>
                                    <w:rPr>
                                      <w:rFonts w:hint="eastAsia" w:ascii="Times New Roman" w:cs="Times New Roman"/>
                                      <w:b/>
                                      <w:bCs/>
                                      <w:sz w:val="21"/>
                                      <w:szCs w:val="21"/>
                                    </w:rPr>
                                    <w:t>生产</w:t>
                                  </w:r>
                                  <w:r>
                                    <w:rPr>
                                      <w:rFonts w:ascii="Times New Roman" w:cs="Times New Roman"/>
                                      <w:b/>
                                      <w:bCs/>
                                      <w:sz w:val="21"/>
                                      <w:szCs w:val="21"/>
                                    </w:rPr>
                                    <w:t>工艺流程及排污节点图</w:t>
                                  </w:r>
                                </w:p>
                              </w:txbxContent>
                            </wps:txbx>
                            <wps:bodyPr upright="1">
                              <a:spAutoFit/>
                            </wps:bodyPr>
                          </wps:wsp>
                        </a:graphicData>
                      </a:graphic>
                    </wp:anchor>
                  </w:drawing>
                </mc:Choice>
                <mc:Fallback>
                  <w:pict>
                    <v:shape id="_x0000_s1026" o:spid="_x0000_s1026" o:spt="202" type="#_x0000_t202" style="position:absolute;left:0pt;margin-left:79.55pt;margin-top:9.75pt;height:144pt;width:260.2pt;mso-wrap-distance-bottom:0pt;mso-wrap-distance-left:9pt;mso-wrap-distance-right:9pt;mso-wrap-distance-top:0pt;z-index:251660288;mso-width-relative:page;mso-height-relative:page;" filled="f" stroked="f" coordsize="21600,21600" o:gfxdata="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CHDJdoAAAAKAQAADwAAAAAAAAABACAAAAAiAAAAZHJzL2Rvd25yZXYu&#10;eG1sUEsBAhQAFAAAAAgAh07iQNUkwdHAAQAAcwMAAA4AAAAAAAAAAQAgAAAAKQEAAGRycy9lMm9E&#10;b2MueG1sUEsFBgAAAAAGAAYAWQEAAFsFAAAAAA==&#10;">
                      <v:fill on="f" focussize="0,0"/>
                      <v:stroke on="f" weight="1pt"/>
                      <v:imagedata o:title=""/>
                      <o:lock v:ext="edit" aspectratio="f"/>
                      <v:textbox style="mso-fit-shape-to-text:t;">
                        <w:txbxContent>
                          <w:p>
                            <w:pPr>
                              <w:pStyle w:val="8"/>
                              <w:autoSpaceDE/>
                              <w:autoSpaceDN/>
                              <w:spacing w:line="240" w:lineRule="auto"/>
                              <w:ind w:left="0" w:right="0"/>
                              <w:jc w:val="center"/>
                              <w:rPr>
                                <w:rFonts w:ascii="Times New Roman" w:cs="Times New Roman"/>
                                <w:b/>
                                <w:bCs/>
                                <w:sz w:val="21"/>
                                <w:szCs w:val="21"/>
                              </w:rPr>
                            </w:pPr>
                            <w:r>
                              <w:rPr>
                                <w:rFonts w:ascii="Times New Roman" w:cs="Times New Roman"/>
                                <w:b/>
                                <w:bCs/>
                                <w:sz w:val="21"/>
                                <w:szCs w:val="21"/>
                              </w:rPr>
                              <w:t>图</w:t>
                            </w:r>
                            <w:r>
                              <w:rPr>
                                <w:rFonts w:hint="eastAsia" w:ascii="Times New Roman" w:cs="Times New Roman"/>
                                <w:b/>
                                <w:bCs/>
                                <w:sz w:val="21"/>
                                <w:szCs w:val="21"/>
                                <w:lang w:val="en-US"/>
                              </w:rPr>
                              <w:t>2-</w:t>
                            </w:r>
                            <w:r>
                              <w:rPr>
                                <w:rFonts w:hint="eastAsia" w:ascii="Times New Roman" w:cs="Times New Roman"/>
                                <w:b/>
                                <w:bCs/>
                                <w:sz w:val="21"/>
                                <w:szCs w:val="21"/>
                                <w:lang w:val="en-US" w:eastAsia="zh-CN"/>
                              </w:rPr>
                              <w:t>3</w:t>
                            </w:r>
                            <w:r>
                              <w:rPr>
                                <w:rFonts w:hint="eastAsia" w:ascii="Times New Roman" w:cs="Times New Roman"/>
                                <w:b/>
                                <w:bCs/>
                                <w:sz w:val="21"/>
                                <w:szCs w:val="21"/>
                              </w:rPr>
                              <w:t>生产</w:t>
                            </w:r>
                            <w:r>
                              <w:rPr>
                                <w:rFonts w:ascii="Times New Roman" w:cs="Times New Roman"/>
                                <w:b/>
                                <w:bCs/>
                                <w:sz w:val="21"/>
                                <w:szCs w:val="21"/>
                              </w:rPr>
                              <w:t>工艺流程及排污节点图</w:t>
                            </w:r>
                          </w:p>
                        </w:txbxContent>
                      </v:textbox>
                      <w10:wrap type="square"/>
                    </v:shape>
                  </w:pict>
                </mc:Fallback>
              </mc:AlternateConten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19" w:hRule="atLeast"/>
        </w:trPr>
        <w:tc>
          <w:tcPr>
            <w:tcW w:w="631" w:type="dxa"/>
            <w:tcBorders>
              <w:top w:val="single" w:color="000000" w:sz="4" w:space="0"/>
              <w:right w:val="single" w:color="000000" w:sz="4" w:space="0"/>
            </w:tcBorders>
            <w:vAlign w:val="center"/>
          </w:tcPr>
          <w:p>
            <w:r>
              <w:t>与项目有关的原有环境污染问题</w:t>
            </w:r>
          </w:p>
        </w:tc>
        <w:tc>
          <w:tcPr>
            <w:tcW w:w="8353"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lang w:val="en-US" w:eastAsia="zh-CN"/>
              </w:rPr>
            </w:pPr>
            <w:r>
              <w:rPr>
                <w:rFonts w:hint="eastAsia"/>
                <w:lang w:val="en-US" w:eastAsia="zh-CN"/>
              </w:rPr>
              <w:t>（1）与本项目有关的原有污染情况</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lang w:val="en-US" w:eastAsia="zh-CN"/>
              </w:rPr>
            </w:pPr>
            <w:r>
              <w:rPr>
                <w:rFonts w:hint="eastAsia"/>
                <w:lang w:val="en-US" w:eastAsia="zh-CN"/>
              </w:rPr>
              <w:t>本项目为补充环评手续，项目选址在</w:t>
            </w:r>
            <w:r>
              <w:rPr>
                <w:rFonts w:hint="eastAsia"/>
                <w:lang w:eastAsia="zh-CN"/>
              </w:rPr>
              <w:t>河北省承德市兴隆县北营房</w:t>
            </w:r>
            <w:r>
              <w:rPr>
                <w:rFonts w:hint="eastAsia"/>
              </w:rPr>
              <w:t>镇</w:t>
            </w:r>
            <w:r>
              <w:rPr>
                <w:rFonts w:hint="eastAsia"/>
                <w:lang w:eastAsia="zh-CN"/>
              </w:rPr>
              <w:t>北营房</w:t>
            </w:r>
            <w:r>
              <w:rPr>
                <w:rFonts w:hint="eastAsia"/>
              </w:rPr>
              <w:t>村</w:t>
            </w:r>
            <w:r>
              <w:rPr>
                <w:rFonts w:hint="eastAsia"/>
                <w:lang w:val="en-US" w:eastAsia="zh-CN"/>
              </w:rPr>
              <w:t>。经现场踏勘，本项目用地范围为空地。</w:t>
            </w:r>
            <w:r>
              <w:rPr>
                <w:rFonts w:hint="eastAsia"/>
                <w:lang w:eastAsia="zh-CN"/>
              </w:rPr>
              <w:t>封闭式生产车间</w:t>
            </w:r>
            <w:r>
              <w:rPr>
                <w:rFonts w:hint="eastAsia"/>
                <w:lang w:val="en-US" w:eastAsia="zh-CN"/>
              </w:rPr>
              <w:t>已建设，未进行生产，无与本项目有关的原有污染情况。</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lang w:eastAsia="zh-CN"/>
              </w:rPr>
            </w:pPr>
            <w:r>
              <w:rPr>
                <w:rFonts w:hint="eastAsia"/>
                <w:lang w:eastAsia="zh-CN"/>
              </w:rPr>
              <w:drawing>
                <wp:anchor distT="0" distB="0" distL="114300" distR="114300" simplePos="0" relativeHeight="251675648" behindDoc="0" locked="0" layoutInCell="1" allowOverlap="1">
                  <wp:simplePos x="0" y="0"/>
                  <wp:positionH relativeFrom="column">
                    <wp:posOffset>525145</wp:posOffset>
                  </wp:positionH>
                  <wp:positionV relativeFrom="paragraph">
                    <wp:posOffset>68580</wp:posOffset>
                  </wp:positionV>
                  <wp:extent cx="4390390" cy="2474595"/>
                  <wp:effectExtent l="0" t="0" r="10160" b="1905"/>
                  <wp:wrapNone/>
                  <wp:docPr id="4" name="图片 4" descr="165836603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8366033037"/>
                          <pic:cNvPicPr>
                            <a:picLocks noChangeAspect="1"/>
                          </pic:cNvPicPr>
                        </pic:nvPicPr>
                        <pic:blipFill>
                          <a:blip r:embed="rId18"/>
                          <a:stretch>
                            <a:fillRect/>
                          </a:stretch>
                        </pic:blipFill>
                        <pic:spPr>
                          <a:xfrm>
                            <a:off x="0" y="0"/>
                            <a:ext cx="4390390" cy="2474595"/>
                          </a:xfrm>
                          <a:prstGeom prst="rect">
                            <a:avLst/>
                          </a:prstGeom>
                        </pic:spPr>
                      </pic:pic>
                    </a:graphicData>
                  </a:graphic>
                </wp:anchor>
              </w:drawing>
            </w:r>
          </w:p>
          <w:p>
            <w:pPr>
              <w:pStyle w:val="20"/>
              <w:rPr>
                <w:rFonts w:hint="eastAsia"/>
                <w:lang w:eastAsia="zh-CN"/>
              </w:rPr>
            </w:pPr>
          </w:p>
          <w:p>
            <w:pPr>
              <w:pStyle w:val="20"/>
              <w:rPr>
                <w:rFonts w:hint="eastAsia"/>
                <w:lang w:eastAsia="zh-CN"/>
              </w:rPr>
            </w:pPr>
          </w:p>
          <w:p>
            <w:pPr>
              <w:pStyle w:val="20"/>
              <w:rPr>
                <w:rFonts w:hint="eastAsia"/>
                <w:lang w:eastAsia="zh-CN"/>
              </w:rPr>
            </w:pPr>
          </w:p>
          <w:p>
            <w:pPr>
              <w:pStyle w:val="20"/>
              <w:rPr>
                <w:rFonts w:hint="eastAsia"/>
                <w:lang w:eastAsia="zh-CN"/>
              </w:rPr>
            </w:pPr>
          </w:p>
          <w:p>
            <w:pPr>
              <w:pStyle w:val="20"/>
              <w:rPr>
                <w:rFonts w:hint="eastAsia"/>
                <w:lang w:eastAsia="zh-CN"/>
              </w:rPr>
            </w:pPr>
          </w:p>
          <w:p>
            <w:pPr>
              <w:pStyle w:val="20"/>
              <w:rPr>
                <w:rFonts w:hint="eastAsia"/>
                <w:lang w:eastAsia="zh-CN"/>
              </w:rPr>
            </w:pP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lang w:val="en-US" w:eastAsia="zh-CN"/>
              </w:rPr>
            </w:pPr>
          </w:p>
          <w:p>
            <w:pPr>
              <w:pStyle w:val="20"/>
              <w:rPr>
                <w:rFonts w:hint="eastAsia"/>
                <w:lang w:val="en-US" w:eastAsia="zh-CN"/>
              </w:rPr>
            </w:pPr>
          </w:p>
          <w:p>
            <w:pPr>
              <w:pStyle w:val="20"/>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mc:AlternateContent>
                <mc:Choice Requires="wps">
                  <w:drawing>
                    <wp:anchor distT="0" distB="0" distL="114300" distR="114300" simplePos="0" relativeHeight="251668480" behindDoc="0" locked="0" layoutInCell="1" allowOverlap="1">
                      <wp:simplePos x="0" y="0"/>
                      <wp:positionH relativeFrom="column">
                        <wp:posOffset>1263650</wp:posOffset>
                      </wp:positionH>
                      <wp:positionV relativeFrom="paragraph">
                        <wp:posOffset>26035</wp:posOffset>
                      </wp:positionV>
                      <wp:extent cx="2762250" cy="4000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762250" cy="400050"/>
                              </a:xfrm>
                              <a:prstGeom prst="rect">
                                <a:avLst/>
                              </a:prstGeom>
                              <a:noFill/>
                              <a:ln w="12700">
                                <a:noFill/>
                              </a:ln>
                            </wps:spPr>
                            <wps:txbx>
                              <w:txbxContent>
                                <w:p>
                                  <w:pPr>
                                    <w:rPr>
                                      <w:rFonts w:hint="eastAsia" w:eastAsia="宋体"/>
                                      <w:b/>
                                      <w:bCs/>
                                      <w:sz w:val="21"/>
                                      <w:szCs w:val="21"/>
                                      <w:lang w:val="en-US" w:eastAsia="zh-CN"/>
                                    </w:rPr>
                                  </w:pPr>
                                  <w:r>
                                    <w:rPr>
                                      <w:rFonts w:hint="eastAsia"/>
                                      <w:b/>
                                      <w:bCs/>
                                      <w:sz w:val="21"/>
                                      <w:szCs w:val="21"/>
                                    </w:rPr>
                                    <w:t>图</w:t>
                                  </w:r>
                                  <w:r>
                                    <w:rPr>
                                      <w:rFonts w:hint="eastAsia"/>
                                      <w:b/>
                                      <w:bCs/>
                                      <w:sz w:val="21"/>
                                      <w:szCs w:val="21"/>
                                      <w:lang w:val="en-US"/>
                                    </w:rPr>
                                    <w:t>2-</w:t>
                                  </w:r>
                                  <w:r>
                                    <w:rPr>
                                      <w:rFonts w:hint="eastAsia"/>
                                      <w:b/>
                                      <w:bCs/>
                                      <w:sz w:val="21"/>
                                      <w:szCs w:val="21"/>
                                      <w:lang w:val="en-US" w:eastAsia="zh-CN"/>
                                    </w:rPr>
                                    <w:t>4厂区现状图</w:t>
                                  </w:r>
                                </w:p>
                              </w:txbxContent>
                            </wps:txbx>
                            <wps:bodyPr upright="1"/>
                          </wps:wsp>
                        </a:graphicData>
                      </a:graphic>
                    </wp:anchor>
                  </w:drawing>
                </mc:Choice>
                <mc:Fallback>
                  <w:pict>
                    <v:shape id="_x0000_s1026" o:spid="_x0000_s1026" o:spt="202" type="#_x0000_t202" style="position:absolute;left:0pt;margin-left:99.5pt;margin-top:2.05pt;height:31.5pt;width:217.5pt;z-index:251668480;mso-width-relative:page;mso-height-relative:page;" filled="f" stroked="f" coordsize="21600,21600" o:gfxdata="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S34u1gAAAAgBAAAPAAAAAAAAAAEAIAAAACIAAABkcnMvZG93bnJldi54bWxQSwECFAAUAAAACACH&#10;TuJAAls087QBAABaAwAADgAAAAAAAAABACAAAAAlAQAAZHJzL2Uyb0RvYy54bWxQSwUGAAAAAAYA&#10;BgBZAQAASwUAAAAA&#10;">
                      <v:fill on="f" focussize="0,0"/>
                      <v:stroke on="f" weight="1pt"/>
                      <v:imagedata o:title=""/>
                      <o:lock v:ext="edit" aspectratio="f"/>
                      <v:textbox>
                        <w:txbxContent>
                          <w:p>
                            <w:pPr>
                              <w:rPr>
                                <w:rFonts w:hint="eastAsia" w:eastAsia="宋体"/>
                                <w:b/>
                                <w:bCs/>
                                <w:sz w:val="21"/>
                                <w:szCs w:val="21"/>
                                <w:lang w:val="en-US" w:eastAsia="zh-CN"/>
                              </w:rPr>
                            </w:pPr>
                            <w:r>
                              <w:rPr>
                                <w:rFonts w:hint="eastAsia"/>
                                <w:b/>
                                <w:bCs/>
                                <w:sz w:val="21"/>
                                <w:szCs w:val="21"/>
                              </w:rPr>
                              <w:t>图</w:t>
                            </w:r>
                            <w:r>
                              <w:rPr>
                                <w:rFonts w:hint="eastAsia"/>
                                <w:b/>
                                <w:bCs/>
                                <w:sz w:val="21"/>
                                <w:szCs w:val="21"/>
                                <w:lang w:val="en-US"/>
                              </w:rPr>
                              <w:t>2-</w:t>
                            </w:r>
                            <w:r>
                              <w:rPr>
                                <w:rFonts w:hint="eastAsia"/>
                                <w:b/>
                                <w:bCs/>
                                <w:sz w:val="21"/>
                                <w:szCs w:val="21"/>
                                <w:lang w:val="en-US" w:eastAsia="zh-CN"/>
                              </w:rPr>
                              <w:t>4厂区现状图</w:t>
                            </w:r>
                          </w:p>
                        </w:txbxContent>
                      </v:textbox>
                    </v:shape>
                  </w:pict>
                </mc:Fallback>
              </mc:AlternateContent>
            </w:r>
          </w:p>
        </w:tc>
      </w:tr>
    </w:tbl>
    <w:p>
      <w:pPr>
        <w:rPr>
          <w:sz w:val="21"/>
        </w:rPr>
        <w:sectPr>
          <w:pgSz w:w="11910" w:h="16840"/>
          <w:pgMar w:top="1417" w:right="1247" w:bottom="1417" w:left="1247" w:header="0" w:footer="1043" w:gutter="0"/>
          <w:cols w:space="720" w:num="1"/>
        </w:sectPr>
      </w:pPr>
    </w:p>
    <w:p>
      <w:pPr>
        <w:pStyle w:val="3"/>
        <w:spacing w:after="120"/>
        <w:rPr>
          <w:sz w:val="22"/>
        </w:rPr>
      </w:pPr>
      <w:r>
        <w:rPr>
          <w:rFonts w:hint="eastAsia"/>
        </w:rPr>
        <w:t>三、区域环境质量现状、环境保护目标及评价标准</w:t>
      </w:r>
    </w:p>
    <w:tbl>
      <w:tblPr>
        <w:tblStyle w:val="15"/>
        <w:tblW w:w="0" w:type="auto"/>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99"/>
        <w:gridCol w:w="81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7" w:hRule="atLeast"/>
        </w:trPr>
        <w:tc>
          <w:tcPr>
            <w:tcW w:w="799" w:type="dxa"/>
            <w:tcBorders>
              <w:bottom w:val="single" w:color="000000" w:sz="4" w:space="0"/>
              <w:right w:val="single" w:color="000000" w:sz="4" w:space="0"/>
            </w:tcBorders>
            <w:vAlign w:val="center"/>
          </w:tcPr>
          <w:p>
            <w:pPr>
              <w:pStyle w:val="23"/>
              <w:spacing w:line="242" w:lineRule="auto"/>
            </w:pPr>
            <w:r>
              <w:t>区</w:t>
            </w:r>
          </w:p>
          <w:p>
            <w:pPr>
              <w:pStyle w:val="23"/>
              <w:spacing w:line="242" w:lineRule="auto"/>
            </w:pPr>
            <w:r>
              <w:t>域</w:t>
            </w:r>
          </w:p>
          <w:p>
            <w:pPr>
              <w:pStyle w:val="23"/>
              <w:spacing w:line="242" w:lineRule="auto"/>
            </w:pPr>
            <w:r>
              <w:t>环</w:t>
            </w:r>
          </w:p>
          <w:p>
            <w:pPr>
              <w:pStyle w:val="23"/>
              <w:spacing w:line="242" w:lineRule="auto"/>
            </w:pPr>
            <w:r>
              <w:t>境</w:t>
            </w:r>
          </w:p>
          <w:p>
            <w:pPr>
              <w:pStyle w:val="23"/>
              <w:spacing w:line="242" w:lineRule="auto"/>
            </w:pPr>
            <w:r>
              <w:t>质</w:t>
            </w:r>
          </w:p>
          <w:p>
            <w:pPr>
              <w:pStyle w:val="23"/>
              <w:spacing w:line="242" w:lineRule="auto"/>
            </w:pPr>
            <w:r>
              <w:t>量</w:t>
            </w:r>
          </w:p>
          <w:p>
            <w:pPr>
              <w:pStyle w:val="23"/>
              <w:spacing w:line="242" w:lineRule="auto"/>
            </w:pPr>
            <w:r>
              <w:t>现</w:t>
            </w:r>
          </w:p>
          <w:p>
            <w:pPr>
              <w:pStyle w:val="23"/>
              <w:spacing w:line="242" w:lineRule="auto"/>
            </w:pPr>
            <w:r>
              <w:t>状</w:t>
            </w:r>
          </w:p>
        </w:tc>
        <w:tc>
          <w:tcPr>
            <w:tcW w:w="8190" w:type="dxa"/>
            <w:tcBorders>
              <w:left w:val="single" w:color="000000" w:sz="4" w:space="0"/>
              <w:bottom w:val="single" w:color="000000" w:sz="4" w:space="0"/>
            </w:tcBorders>
            <w:vAlign w:val="center"/>
          </w:tcPr>
          <w:p>
            <w:pPr>
              <w:keepNext w:val="0"/>
              <w:keepLines w:val="0"/>
              <w:pageBreakBefore w:val="0"/>
              <w:widowControl w:val="0"/>
              <w:tabs>
                <w:tab w:val="left" w:pos="660"/>
              </w:tabs>
              <w:kinsoku/>
              <w:wordWrap/>
              <w:overflowPunct/>
              <w:topLinePunct w:val="0"/>
              <w:autoSpaceDE/>
              <w:autoSpaceDN/>
              <w:bidi w:val="0"/>
              <w:adjustRightInd w:val="0"/>
              <w:snapToGrid w:val="0"/>
              <w:spacing w:line="500" w:lineRule="exact"/>
              <w:ind w:right="0" w:firstLine="482" w:firstLineChars="200"/>
              <w:jc w:val="left"/>
              <w:textAlignment w:val="auto"/>
              <w:outlineLvl w:val="9"/>
              <w:rPr>
                <w:rFonts w:hint="default" w:ascii="Times New Roman" w:hAnsi="Times New Roman" w:eastAsia="宋体" w:cs="Times New Roman"/>
                <w:b/>
                <w:bCs/>
                <w:sz w:val="24"/>
              </w:rPr>
            </w:pPr>
            <w:bookmarkStart w:id="0" w:name="_Toc459100486"/>
            <w:bookmarkStart w:id="1" w:name="_Toc497507372"/>
            <w:r>
              <w:rPr>
                <w:rFonts w:hint="default" w:ascii="Times New Roman" w:hAnsi="Times New Roman" w:eastAsia="宋体" w:cs="Times New Roman"/>
                <w:b/>
                <w:bCs/>
                <w:sz w:val="24"/>
                <w:lang w:val="en-US" w:eastAsia="zh-CN"/>
              </w:rPr>
              <w:t>1、</w:t>
            </w:r>
            <w:r>
              <w:rPr>
                <w:rFonts w:hint="default" w:ascii="Times New Roman" w:hAnsi="Times New Roman" w:eastAsia="宋体" w:cs="Times New Roman"/>
                <w:b/>
                <w:bCs/>
                <w:sz w:val="24"/>
              </w:rPr>
              <w:t>环境空气</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sz w:val="24"/>
                <w:szCs w:val="24"/>
              </w:rPr>
              <w:t>本项目评价引用20</w:t>
            </w:r>
            <w:r>
              <w:rPr>
                <w:rFonts w:hint="eastAsia" w:cs="Times New Roman"/>
                <w:sz w:val="24"/>
                <w:szCs w:val="24"/>
                <w:lang w:val="en-US" w:eastAsia="zh-CN"/>
              </w:rPr>
              <w:t>22</w:t>
            </w:r>
            <w:r>
              <w:rPr>
                <w:rFonts w:hint="default" w:ascii="Times New Roman" w:hAnsi="Times New Roman" w:eastAsia="宋体" w:cs="Times New Roman"/>
                <w:sz w:val="24"/>
                <w:szCs w:val="24"/>
              </w:rPr>
              <w:t>年</w:t>
            </w:r>
            <w:r>
              <w:rPr>
                <w:rFonts w:hint="eastAsia" w:cs="Times New Roman"/>
                <w:sz w:val="24"/>
                <w:szCs w:val="24"/>
                <w:lang w:val="en-US" w:eastAsia="zh-CN"/>
              </w:rPr>
              <w:t>4</w:t>
            </w:r>
            <w:r>
              <w:rPr>
                <w:rFonts w:hint="default" w:ascii="Times New Roman" w:hAnsi="Times New Roman" w:eastAsia="宋体" w:cs="Times New Roman"/>
                <w:sz w:val="24"/>
                <w:szCs w:val="24"/>
              </w:rPr>
              <w:t>月</w:t>
            </w:r>
            <w:r>
              <w:rPr>
                <w:rFonts w:hint="eastAsia" w:cs="Times New Roman"/>
                <w:sz w:val="24"/>
                <w:szCs w:val="24"/>
                <w:lang w:eastAsia="zh-CN"/>
              </w:rPr>
              <w:t>承德市生态环境局</w:t>
            </w:r>
            <w:r>
              <w:rPr>
                <w:rFonts w:hint="default" w:ascii="Times New Roman" w:hAnsi="Times New Roman" w:eastAsia="宋体" w:cs="Times New Roman"/>
                <w:sz w:val="24"/>
                <w:szCs w:val="24"/>
              </w:rPr>
              <w:t>发布的《20</w:t>
            </w:r>
            <w:r>
              <w:rPr>
                <w:rFonts w:hint="eastAsia" w:cs="Times New Roman"/>
                <w:sz w:val="24"/>
                <w:szCs w:val="24"/>
                <w:lang w:val="en-US" w:eastAsia="zh-CN"/>
              </w:rPr>
              <w:t>21</w:t>
            </w:r>
            <w:r>
              <w:rPr>
                <w:rFonts w:hint="default" w:ascii="Times New Roman" w:hAnsi="Times New Roman" w:eastAsia="宋体" w:cs="Times New Roman"/>
                <w:sz w:val="24"/>
                <w:szCs w:val="24"/>
              </w:rPr>
              <w:t>年承德市环境状况公报》常规数据，</w:t>
            </w:r>
            <w:r>
              <w:rPr>
                <w:rFonts w:hint="default"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rPr>
              <w:t>大气常规污染物中的PM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、CO、O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现状监测统计资料，来说明拟建地区的环境空气质量，监测结果见表。</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22" w:firstLineChars="200"/>
              <w:jc w:val="center"/>
              <w:textAlignment w:val="auto"/>
              <w:outlineLvl w:val="9"/>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eastAsia" w:cs="Times New Roman"/>
                <w:b/>
                <w:bCs/>
                <w:sz w:val="21"/>
                <w:szCs w:val="21"/>
                <w:lang w:val="en-US" w:eastAsia="zh-CN"/>
              </w:rPr>
              <w:t xml:space="preserve">3-1  </w:t>
            </w:r>
            <w:r>
              <w:rPr>
                <w:rFonts w:hint="default" w:ascii="Times New Roman" w:hAnsi="Times New Roman" w:cs="Times New Roman"/>
                <w:b/>
                <w:bCs/>
                <w:sz w:val="21"/>
                <w:szCs w:val="21"/>
              </w:rPr>
              <w:t>20</w:t>
            </w:r>
            <w:r>
              <w:rPr>
                <w:rFonts w:hint="eastAsia" w:cs="Times New Roman"/>
                <w:b/>
                <w:bCs/>
                <w:sz w:val="21"/>
                <w:szCs w:val="21"/>
                <w:lang w:val="en-US" w:eastAsia="zh-CN"/>
              </w:rPr>
              <w:t>21</w:t>
            </w:r>
            <w:r>
              <w:rPr>
                <w:rFonts w:hint="default" w:ascii="Times New Roman" w:hAnsi="Times New Roman" w:cs="Times New Roman"/>
                <w:b/>
                <w:bCs/>
                <w:sz w:val="21"/>
                <w:szCs w:val="21"/>
              </w:rPr>
              <w:t>年兴隆县环境空气中常规污染物浓度</w:t>
            </w:r>
          </w:p>
          <w:tbl>
            <w:tblPr>
              <w:tblStyle w:val="15"/>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1775"/>
              <w:gridCol w:w="1500"/>
              <w:gridCol w:w="1161"/>
              <w:gridCol w:w="990"/>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污染物</w:t>
                  </w:r>
                </w:p>
              </w:tc>
              <w:tc>
                <w:tcPr>
                  <w:tcW w:w="109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年评价指标</w:t>
                  </w:r>
                </w:p>
              </w:tc>
              <w:tc>
                <w:tcPr>
                  <w:tcW w:w="924"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现状浓度（ug/m</w:t>
                  </w:r>
                  <w:r>
                    <w:rPr>
                      <w:rFonts w:hint="default" w:ascii="Times New Roman" w:hAnsi="Times New Roman" w:cs="Times New Roman"/>
                      <w:b/>
                      <w:bCs/>
                      <w:kern w:val="0"/>
                      <w:sz w:val="21"/>
                      <w:szCs w:val="21"/>
                      <w:vertAlign w:val="superscript"/>
                    </w:rPr>
                    <w:t>3</w:t>
                  </w:r>
                  <w:r>
                    <w:rPr>
                      <w:rFonts w:hint="default" w:ascii="Times New Roman" w:hAnsi="Times New Roman" w:cs="Times New Roman"/>
                      <w:b/>
                      <w:bCs/>
                      <w:kern w:val="0"/>
                      <w:sz w:val="21"/>
                      <w:szCs w:val="21"/>
                    </w:rPr>
                    <w:t>）</w:t>
                  </w:r>
                </w:p>
              </w:tc>
              <w:tc>
                <w:tcPr>
                  <w:tcW w:w="71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标准浓度</w:t>
                  </w:r>
                </w:p>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（ug/m</w:t>
                  </w:r>
                  <w:r>
                    <w:rPr>
                      <w:rFonts w:hint="default" w:ascii="Times New Roman" w:hAnsi="Times New Roman" w:cs="Times New Roman"/>
                      <w:b/>
                      <w:bCs/>
                      <w:kern w:val="0"/>
                      <w:sz w:val="21"/>
                      <w:szCs w:val="21"/>
                      <w:vertAlign w:val="superscript"/>
                    </w:rPr>
                    <w:t>3</w:t>
                  </w:r>
                  <w:r>
                    <w:rPr>
                      <w:rFonts w:hint="default" w:ascii="Times New Roman" w:hAnsi="Times New Roman" w:cs="Times New Roman"/>
                      <w:b/>
                      <w:bCs/>
                      <w:kern w:val="0"/>
                      <w:sz w:val="21"/>
                      <w:szCs w:val="21"/>
                    </w:rPr>
                    <w:t>）</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占标率</w:t>
                  </w:r>
                </w:p>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w:t>
                  </w:r>
                </w:p>
              </w:tc>
              <w:tc>
                <w:tcPr>
                  <w:tcW w:w="83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PM</w:t>
                  </w:r>
                  <w:r>
                    <w:rPr>
                      <w:rFonts w:hint="default" w:ascii="Times New Roman" w:hAnsi="Times New Roman" w:cs="Times New Roman"/>
                      <w:b w:val="0"/>
                      <w:bCs w:val="0"/>
                      <w:kern w:val="0"/>
                      <w:sz w:val="21"/>
                      <w:szCs w:val="21"/>
                      <w:vertAlign w:val="subscript"/>
                    </w:rPr>
                    <w:t>10</w:t>
                  </w:r>
                </w:p>
              </w:tc>
              <w:tc>
                <w:tcPr>
                  <w:tcW w:w="1093" w:type="pct"/>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年平均质量浓度</w:t>
                  </w:r>
                </w:p>
              </w:tc>
              <w:tc>
                <w:tcPr>
                  <w:tcW w:w="924" w:type="pct"/>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56</w:t>
                  </w:r>
                </w:p>
              </w:tc>
              <w:tc>
                <w:tcPr>
                  <w:tcW w:w="71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70</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80.00</w:t>
                  </w:r>
                </w:p>
              </w:tc>
              <w:tc>
                <w:tcPr>
                  <w:tcW w:w="83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PM</w:t>
                  </w:r>
                  <w:r>
                    <w:rPr>
                      <w:rFonts w:hint="default" w:ascii="Times New Roman" w:hAnsi="Times New Roman" w:cs="Times New Roman"/>
                      <w:b w:val="0"/>
                      <w:bCs w:val="0"/>
                      <w:kern w:val="0"/>
                      <w:sz w:val="21"/>
                      <w:szCs w:val="21"/>
                      <w:vertAlign w:val="subscript"/>
                    </w:rPr>
                    <w:t>2.5</w:t>
                  </w:r>
                </w:p>
              </w:tc>
              <w:tc>
                <w:tcPr>
                  <w:tcW w:w="1093"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kern w:val="0"/>
                      <w:sz w:val="21"/>
                      <w:szCs w:val="21"/>
                    </w:rPr>
                  </w:pPr>
                </w:p>
              </w:tc>
              <w:tc>
                <w:tcPr>
                  <w:tcW w:w="924"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26</w:t>
                  </w:r>
                </w:p>
              </w:tc>
              <w:tc>
                <w:tcPr>
                  <w:tcW w:w="71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35</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74.29</w:t>
                  </w:r>
                </w:p>
              </w:tc>
              <w:tc>
                <w:tcPr>
                  <w:tcW w:w="83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SO</w:t>
                  </w:r>
                  <w:r>
                    <w:rPr>
                      <w:rFonts w:hint="default" w:ascii="Times New Roman" w:hAnsi="Times New Roman" w:cs="Times New Roman"/>
                      <w:b w:val="0"/>
                      <w:bCs w:val="0"/>
                      <w:kern w:val="0"/>
                      <w:sz w:val="21"/>
                      <w:szCs w:val="21"/>
                      <w:vertAlign w:val="subscript"/>
                    </w:rPr>
                    <w:t>2</w:t>
                  </w:r>
                </w:p>
              </w:tc>
              <w:tc>
                <w:tcPr>
                  <w:tcW w:w="1093"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kern w:val="0"/>
                      <w:sz w:val="21"/>
                      <w:szCs w:val="21"/>
                    </w:rPr>
                  </w:pPr>
                </w:p>
              </w:tc>
              <w:tc>
                <w:tcPr>
                  <w:tcW w:w="924"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7</w:t>
                  </w:r>
                </w:p>
              </w:tc>
              <w:tc>
                <w:tcPr>
                  <w:tcW w:w="71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60</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11.67</w:t>
                  </w:r>
                </w:p>
              </w:tc>
              <w:tc>
                <w:tcPr>
                  <w:tcW w:w="83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NO</w:t>
                  </w:r>
                  <w:r>
                    <w:rPr>
                      <w:rFonts w:hint="default" w:ascii="Times New Roman" w:hAnsi="Times New Roman" w:cs="Times New Roman"/>
                      <w:b w:val="0"/>
                      <w:bCs w:val="0"/>
                      <w:kern w:val="0"/>
                      <w:sz w:val="21"/>
                      <w:szCs w:val="21"/>
                      <w:vertAlign w:val="subscript"/>
                    </w:rPr>
                    <w:t>2</w:t>
                  </w:r>
                </w:p>
              </w:tc>
              <w:tc>
                <w:tcPr>
                  <w:tcW w:w="1093"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kern w:val="0"/>
                      <w:sz w:val="21"/>
                      <w:szCs w:val="21"/>
                    </w:rPr>
                  </w:pPr>
                </w:p>
              </w:tc>
              <w:tc>
                <w:tcPr>
                  <w:tcW w:w="924"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25</w:t>
                  </w:r>
                </w:p>
              </w:tc>
              <w:tc>
                <w:tcPr>
                  <w:tcW w:w="71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40</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62.50</w:t>
                  </w:r>
                </w:p>
              </w:tc>
              <w:tc>
                <w:tcPr>
                  <w:tcW w:w="83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CO</w:t>
                  </w:r>
                </w:p>
              </w:tc>
              <w:tc>
                <w:tcPr>
                  <w:tcW w:w="109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第95百分位数24h平均浓度</w:t>
                  </w:r>
                </w:p>
              </w:tc>
              <w:tc>
                <w:tcPr>
                  <w:tcW w:w="924"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1.2</w:t>
                  </w:r>
                </w:p>
              </w:tc>
              <w:tc>
                <w:tcPr>
                  <w:tcW w:w="71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4.0</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30.00</w:t>
                  </w:r>
                </w:p>
              </w:tc>
              <w:tc>
                <w:tcPr>
                  <w:tcW w:w="83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O</w:t>
                  </w:r>
                  <w:r>
                    <w:rPr>
                      <w:rFonts w:hint="default" w:ascii="Times New Roman" w:hAnsi="Times New Roman" w:cs="Times New Roman"/>
                      <w:b w:val="0"/>
                      <w:bCs w:val="0"/>
                      <w:kern w:val="0"/>
                      <w:sz w:val="21"/>
                      <w:szCs w:val="21"/>
                      <w:vertAlign w:val="subscript"/>
                    </w:rPr>
                    <w:t>3</w:t>
                  </w:r>
                </w:p>
              </w:tc>
              <w:tc>
                <w:tcPr>
                  <w:tcW w:w="109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第90百分位数8h平均浓度</w:t>
                  </w:r>
                </w:p>
              </w:tc>
              <w:tc>
                <w:tcPr>
                  <w:tcW w:w="924"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145</w:t>
                  </w:r>
                </w:p>
              </w:tc>
              <w:tc>
                <w:tcPr>
                  <w:tcW w:w="71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160</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90.63</w:t>
                  </w:r>
                </w:p>
              </w:tc>
              <w:tc>
                <w:tcPr>
                  <w:tcW w:w="83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达标</w:t>
                  </w:r>
                </w:p>
              </w:tc>
            </w:tr>
          </w:tbl>
          <w:p>
            <w:pPr>
              <w:keepNext w:val="0"/>
              <w:keepLines w:val="0"/>
              <w:pageBreakBefore w:val="0"/>
              <w:widowControl w:val="0"/>
              <w:shd w:val="clear" w:color="auto" w:fill="FFFFFF"/>
              <w:kinsoku/>
              <w:wordWrap/>
              <w:overflowPunct/>
              <w:topLinePunct w:val="0"/>
              <w:autoSpaceDE/>
              <w:autoSpaceDN/>
              <w:bidi w:val="0"/>
              <w:adjustRightInd/>
              <w:snapToGrid/>
              <w:spacing w:line="500" w:lineRule="exact"/>
              <w:ind w:firstLine="420" w:firstLineChars="200"/>
              <w:jc w:val="left"/>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注：1.CO的浓度单位是mg/m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，PM</w:t>
            </w:r>
            <w:r>
              <w:rPr>
                <w:rFonts w:hint="default" w:ascii="Times New Roman" w:hAnsi="Times New Roman" w:eastAsia="仿宋" w:cs="Times New Roman"/>
                <w:sz w:val="21"/>
                <w:szCs w:val="21"/>
                <w:vertAlign w:val="subscript"/>
              </w:rPr>
              <w:t>2.5</w:t>
            </w:r>
            <w:r>
              <w:rPr>
                <w:rFonts w:hint="default" w:ascii="Times New Roman" w:hAnsi="Times New Roman" w:eastAsia="仿宋" w:cs="Times New Roman"/>
                <w:sz w:val="21"/>
                <w:szCs w:val="21"/>
              </w:rPr>
              <w:t>、PM</w:t>
            </w:r>
            <w:r>
              <w:rPr>
                <w:rFonts w:hint="default" w:ascii="Times New Roman" w:hAnsi="Times New Roman" w:eastAsia="仿宋" w:cs="Times New Roman"/>
                <w:sz w:val="21"/>
                <w:szCs w:val="21"/>
                <w:vertAlign w:val="subscript"/>
              </w:rPr>
              <w:t>10</w:t>
            </w:r>
            <w:r>
              <w:rPr>
                <w:rFonts w:hint="default" w:ascii="Times New Roman" w:hAnsi="Times New Roman" w:eastAsia="仿宋" w:cs="Times New Roman"/>
                <w:sz w:val="21"/>
                <w:szCs w:val="21"/>
              </w:rPr>
              <w:t>、NO</w:t>
            </w:r>
            <w:r>
              <w:rPr>
                <w:rFonts w:hint="default" w:ascii="Times New Roman" w:hAnsi="Times New Roman" w:eastAsia="仿宋" w:cs="Times New Roman"/>
                <w:sz w:val="21"/>
                <w:szCs w:val="21"/>
                <w:vertAlign w:val="subscript"/>
              </w:rPr>
              <w:t>2</w:t>
            </w:r>
            <w:r>
              <w:rPr>
                <w:rFonts w:hint="default" w:ascii="Times New Roman" w:hAnsi="Times New Roman" w:eastAsia="仿宋" w:cs="Times New Roman"/>
                <w:sz w:val="21"/>
                <w:szCs w:val="21"/>
              </w:rPr>
              <w:t>、SO</w:t>
            </w:r>
            <w:r>
              <w:rPr>
                <w:rFonts w:hint="default" w:ascii="Times New Roman" w:hAnsi="Times New Roman" w:eastAsia="仿宋" w:cs="Times New Roman"/>
                <w:sz w:val="21"/>
                <w:szCs w:val="21"/>
                <w:vertAlign w:val="subscript"/>
              </w:rPr>
              <w:t>2</w:t>
            </w:r>
            <w:r>
              <w:rPr>
                <w:rFonts w:hint="default" w:ascii="Times New Roman" w:hAnsi="Times New Roman" w:eastAsia="仿宋" w:cs="Times New Roman"/>
                <w:sz w:val="21"/>
                <w:szCs w:val="21"/>
              </w:rPr>
              <w:t>、O</w:t>
            </w:r>
            <w:r>
              <w:rPr>
                <w:rFonts w:hint="default" w:ascii="Times New Roman" w:hAnsi="Times New Roman" w:eastAsia="仿宋" w:cs="Times New Roman"/>
                <w:sz w:val="21"/>
                <w:szCs w:val="21"/>
                <w:vertAlign w:val="subscript"/>
              </w:rPr>
              <w:t>3</w:t>
            </w:r>
            <w:r>
              <w:rPr>
                <w:rFonts w:hint="default" w:ascii="Times New Roman" w:hAnsi="Times New Roman" w:eastAsia="仿宋" w:cs="Times New Roman"/>
                <w:sz w:val="21"/>
                <w:szCs w:val="21"/>
              </w:rPr>
              <w:t>的浓度单位是μg/m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；2.CO为24小时平均第95百分位数，O</w:t>
            </w:r>
            <w:r>
              <w:rPr>
                <w:rFonts w:hint="default" w:ascii="Times New Roman" w:hAnsi="Times New Roman" w:eastAsia="仿宋" w:cs="Times New Roman"/>
                <w:sz w:val="21"/>
                <w:szCs w:val="21"/>
                <w:vertAlign w:val="subscript"/>
              </w:rPr>
              <w:t>3</w:t>
            </w:r>
            <w:r>
              <w:rPr>
                <w:rFonts w:hint="default" w:ascii="Times New Roman" w:hAnsi="Times New Roman" w:eastAsia="仿宋" w:cs="Times New Roman"/>
                <w:sz w:val="21"/>
                <w:szCs w:val="21"/>
              </w:rPr>
              <w:t>为日最大8小时平均第90百分位数。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cs="Times New Roman"/>
                <w:color w:val="auto"/>
                <w:sz w:val="24"/>
                <w:szCs w:val="24"/>
                <w:highlight w:val="none"/>
                <w:lang w:eastAsia="zh-CN"/>
              </w:rPr>
            </w:pPr>
            <w:r>
              <w:rPr>
                <w:rFonts w:hint="default"/>
                <w:sz w:val="24"/>
                <w:szCs w:val="24"/>
              </w:rPr>
              <w:t>由上表可知，六项</w:t>
            </w:r>
            <w:r>
              <w:rPr>
                <w:rFonts w:hint="eastAsia"/>
                <w:sz w:val="24"/>
                <w:szCs w:val="24"/>
                <w:lang w:eastAsia="zh-CN"/>
              </w:rPr>
              <w:t>基本</w:t>
            </w:r>
            <w:r>
              <w:rPr>
                <w:rFonts w:hint="default"/>
                <w:sz w:val="24"/>
                <w:szCs w:val="24"/>
              </w:rPr>
              <w:t>污染物全部达标，本项目所在区域的环境空气质量为达标区域</w:t>
            </w:r>
            <w:r>
              <w:rPr>
                <w:rFonts w:hint="eastAsia"/>
                <w:sz w:val="24"/>
                <w:szCs w:val="24"/>
              </w:rPr>
              <w:t>。</w:t>
            </w:r>
            <w:r>
              <w:rPr>
                <w:rFonts w:hint="eastAsia"/>
                <w:sz w:val="24"/>
                <w:szCs w:val="24"/>
                <w:lang w:val="en-US" w:eastAsia="zh-CN"/>
              </w:rPr>
              <w:t>2021年环境空气质量较上一年度有明显改善，满足</w:t>
            </w:r>
            <w:r>
              <w:rPr>
                <w:rFonts w:hint="default" w:ascii="Times New Roman" w:hAnsi="Times New Roman" w:cs="Times New Roman"/>
                <w:kern w:val="24"/>
                <w:sz w:val="24"/>
                <w:szCs w:val="24"/>
                <w:highlight w:val="none"/>
              </w:rPr>
              <w:t>《环境空气质量标准》（GB3095-2012）</w:t>
            </w:r>
            <w:r>
              <w:rPr>
                <w:rFonts w:hint="default" w:ascii="Times New Roman" w:hAnsi="Times New Roman" w:cs="Times New Roman"/>
                <w:color w:val="auto"/>
                <w:sz w:val="24"/>
                <w:szCs w:val="24"/>
                <w:highlight w:val="none"/>
              </w:rPr>
              <w:t>中二级标准</w:t>
            </w:r>
            <w:r>
              <w:rPr>
                <w:rFonts w:hint="eastAsia" w:cs="Times New Roman"/>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eastAsia="宋体" w:cs="Times New Roman"/>
                <w:b/>
                <w:bCs w:val="0"/>
                <w:color w:val="auto"/>
                <w:sz w:val="24"/>
                <w:lang w:eastAsia="zh-CN"/>
              </w:rPr>
            </w:pPr>
            <w:r>
              <w:rPr>
                <w:rFonts w:hint="default" w:ascii="Times New Roman" w:hAnsi="Times New Roman" w:eastAsia="宋体" w:cs="Times New Roman"/>
                <w:b/>
                <w:bCs w:val="0"/>
                <w:color w:val="auto"/>
                <w:sz w:val="24"/>
                <w:lang w:val="en-US" w:eastAsia="zh-CN"/>
              </w:rPr>
              <w:t>2、</w:t>
            </w:r>
            <w:r>
              <w:rPr>
                <w:rFonts w:hint="default" w:ascii="Times New Roman" w:hAnsi="Times New Roman" w:eastAsia="宋体" w:cs="Times New Roman"/>
                <w:b/>
                <w:bCs w:val="0"/>
                <w:color w:val="auto"/>
                <w:sz w:val="24"/>
                <w:lang w:eastAsia="zh-CN"/>
              </w:rPr>
              <w:t>项目区域环境质量现状</w:t>
            </w:r>
          </w:p>
          <w:p>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kern w:val="0"/>
                <w:szCs w:val="21"/>
              </w:rPr>
            </w:pPr>
            <w:r>
              <w:rPr>
                <w:kern w:val="0"/>
                <w:szCs w:val="21"/>
              </w:rPr>
              <w:t>为进一步了解项目区环境空气质量现状，</w:t>
            </w:r>
            <w:r>
              <w:rPr>
                <w:rFonts w:hint="eastAsia"/>
                <w:kern w:val="0"/>
                <w:szCs w:val="21"/>
                <w:lang w:eastAsia="zh-CN"/>
              </w:rPr>
              <w:t>评价单位</w:t>
            </w:r>
            <w:r>
              <w:rPr>
                <w:rFonts w:hint="eastAsia"/>
                <w:kern w:val="0"/>
                <w:szCs w:val="21"/>
                <w:lang w:val="en-US" w:eastAsia="zh-CN"/>
              </w:rPr>
              <w:t>引用</w:t>
            </w:r>
            <w:r>
              <w:rPr>
                <w:rFonts w:hint="eastAsia" w:cs="Times New Roman"/>
                <w:color w:val="auto"/>
                <w:kern w:val="24"/>
                <w:sz w:val="24"/>
                <w:lang w:eastAsia="zh-CN"/>
              </w:rPr>
              <w:t>承德建泽建设工程有限公司</w:t>
            </w:r>
            <w:r>
              <w:rPr>
                <w:rFonts w:hint="eastAsia" w:cs="Times New Roman"/>
                <w:color w:val="auto"/>
                <w:kern w:val="24"/>
                <w:sz w:val="24"/>
                <w:lang w:val="en-US" w:eastAsia="zh-CN"/>
              </w:rPr>
              <w:t>混凝土搅拌站和水稳层项目</w:t>
            </w:r>
            <w:r>
              <w:rPr>
                <w:rFonts w:hint="default" w:ascii="Times New Roman" w:hAnsi="Times New Roman" w:cs="Times New Roman"/>
                <w:color w:val="auto"/>
                <w:kern w:val="24"/>
                <w:sz w:val="24"/>
                <w:lang w:val="en-US" w:eastAsia="zh-CN"/>
              </w:rPr>
              <w:t>2019年</w:t>
            </w:r>
            <w:r>
              <w:rPr>
                <w:rFonts w:hint="eastAsia" w:cs="Times New Roman"/>
                <w:color w:val="auto"/>
                <w:kern w:val="24"/>
                <w:sz w:val="24"/>
                <w:lang w:val="en-US" w:eastAsia="zh-CN"/>
              </w:rPr>
              <w:t>12</w:t>
            </w:r>
            <w:r>
              <w:rPr>
                <w:rFonts w:hint="default" w:ascii="Times New Roman" w:hAnsi="Times New Roman" w:cs="Times New Roman"/>
                <w:color w:val="auto"/>
                <w:kern w:val="24"/>
                <w:sz w:val="24"/>
                <w:lang w:val="en-US" w:eastAsia="zh-CN"/>
              </w:rPr>
              <w:t>月</w:t>
            </w:r>
            <w:r>
              <w:rPr>
                <w:rFonts w:hint="eastAsia" w:cs="Times New Roman"/>
                <w:color w:val="auto"/>
                <w:kern w:val="24"/>
                <w:sz w:val="24"/>
                <w:lang w:val="en-US" w:eastAsia="zh-CN"/>
              </w:rPr>
              <w:t>27</w:t>
            </w:r>
            <w:r>
              <w:rPr>
                <w:rFonts w:hint="default" w:ascii="Times New Roman" w:hAnsi="Times New Roman" w:cs="Times New Roman"/>
                <w:color w:val="auto"/>
                <w:kern w:val="24"/>
                <w:sz w:val="24"/>
                <w:lang w:val="en-US" w:eastAsia="zh-CN"/>
              </w:rPr>
              <w:t>日</w:t>
            </w:r>
            <w:r>
              <w:rPr>
                <w:rFonts w:hint="eastAsia" w:ascii="Times New Roman" w:hAnsi="Times New Roman" w:cs="Times New Roman"/>
                <w:color w:val="auto"/>
                <w:kern w:val="24"/>
                <w:sz w:val="24"/>
                <w:lang w:val="en-US" w:eastAsia="zh-CN"/>
              </w:rPr>
              <w:t>的</w:t>
            </w:r>
            <w:r>
              <w:rPr>
                <w:rFonts w:hint="default" w:ascii="Times New Roman" w:hAnsi="Times New Roman" w:cs="Times New Roman"/>
                <w:color w:val="auto"/>
                <w:kern w:val="0"/>
                <w:sz w:val="24"/>
                <w:szCs w:val="21"/>
              </w:rPr>
              <w:t>环境质量现状</w:t>
            </w:r>
            <w:r>
              <w:rPr>
                <w:rFonts w:hint="default" w:ascii="Times New Roman" w:hAnsi="Times New Roman" w:cs="Times New Roman"/>
                <w:color w:val="auto"/>
                <w:kern w:val="0"/>
                <w:sz w:val="24"/>
                <w:szCs w:val="21"/>
                <w:lang w:eastAsia="zh-CN"/>
              </w:rPr>
              <w:t>检测</w:t>
            </w:r>
            <w:r>
              <w:rPr>
                <w:rFonts w:hint="eastAsia" w:cs="Times New Roman"/>
                <w:color w:val="auto"/>
                <w:kern w:val="0"/>
                <w:sz w:val="24"/>
                <w:szCs w:val="21"/>
                <w:lang w:val="en-US" w:eastAsia="zh-CN"/>
              </w:rPr>
              <w:t>报告（</w:t>
            </w:r>
            <w:r>
              <w:rPr>
                <w:rFonts w:hint="eastAsia"/>
                <w:kern w:val="0"/>
                <w:szCs w:val="21"/>
                <w:lang w:val="en-US" w:eastAsia="zh-CN"/>
              </w:rPr>
              <w:t>唐永检字【2019】第12070</w:t>
            </w:r>
            <w:r>
              <w:rPr>
                <w:rFonts w:hint="eastAsia" w:cs="Times New Roman"/>
                <w:color w:val="auto"/>
                <w:kern w:val="0"/>
                <w:sz w:val="24"/>
                <w:szCs w:val="21"/>
                <w:lang w:val="en-US" w:eastAsia="zh-CN"/>
              </w:rPr>
              <w:t>）数据</w:t>
            </w:r>
            <w:r>
              <w:rPr>
                <w:rFonts w:hint="eastAsia"/>
                <w:kern w:val="0"/>
                <w:szCs w:val="21"/>
                <w:lang w:eastAsia="zh-CN"/>
              </w:rPr>
              <w:t>，</w:t>
            </w:r>
            <w:r>
              <w:rPr>
                <w:kern w:val="0"/>
                <w:szCs w:val="21"/>
              </w:rPr>
              <w:t>监测因子：TSP。</w:t>
            </w:r>
          </w:p>
          <w:p>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color w:val="auto"/>
                <w:szCs w:val="22"/>
              </w:rPr>
            </w:pPr>
            <w:r>
              <w:rPr>
                <w:color w:val="auto"/>
                <w:szCs w:val="22"/>
              </w:rPr>
              <w:t>①监测因子现状检测与评价</w:t>
            </w:r>
          </w:p>
          <w:p>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color w:val="auto"/>
                <w:szCs w:val="22"/>
              </w:rPr>
            </w:pPr>
            <w:r>
              <w:rPr>
                <w:color w:val="auto"/>
                <w:szCs w:val="22"/>
              </w:rPr>
              <w:t>a.监测点位位置：</w:t>
            </w:r>
          </w:p>
          <w:p>
            <w:pPr>
              <w:pStyle w:val="2"/>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FF0000"/>
                <w:kern w:val="21"/>
              </w:rPr>
            </w:pPr>
            <w:r>
              <w:rPr>
                <w:rFonts w:hint="eastAsia" w:cs="Times New Roman"/>
                <w:color w:val="auto"/>
                <w:kern w:val="24"/>
                <w:sz w:val="24"/>
                <w:lang w:eastAsia="zh-CN"/>
              </w:rPr>
              <w:t>承德建泽建设工程有限公司</w:t>
            </w:r>
            <w:r>
              <w:rPr>
                <w:rFonts w:hint="eastAsia"/>
                <w:color w:val="auto"/>
                <w:kern w:val="21"/>
                <w:lang w:val="en-US" w:eastAsia="zh-CN"/>
              </w:rPr>
              <w:t>厂区内</w:t>
            </w:r>
            <w:r>
              <w:rPr>
                <w:color w:val="auto"/>
                <w:kern w:val="21"/>
              </w:rPr>
              <w:t>——</w:t>
            </w:r>
            <w:r>
              <w:rPr>
                <w:rFonts w:hint="eastAsia"/>
                <w:color w:val="auto"/>
                <w:kern w:val="21"/>
                <w:lang w:val="en-US" w:eastAsia="zh-CN"/>
              </w:rPr>
              <w:t>位于</w:t>
            </w:r>
            <w:r>
              <w:rPr>
                <w:rFonts w:hint="eastAsia"/>
                <w:color w:val="auto"/>
                <w:kern w:val="21"/>
                <w:lang w:eastAsia="zh-CN"/>
              </w:rPr>
              <w:t>本项目</w:t>
            </w:r>
            <w:r>
              <w:rPr>
                <w:rFonts w:hint="eastAsia"/>
                <w:color w:val="auto"/>
                <w:kern w:val="21"/>
                <w:lang w:val="en-US" w:eastAsia="zh-CN"/>
              </w:rPr>
              <w:t>西北侧1858米</w:t>
            </w:r>
            <w:r>
              <w:rPr>
                <w:color w:val="auto"/>
                <w:kern w:val="21"/>
                <w:highlight w:val="none"/>
                <w:shd w:val="clear"/>
              </w:rPr>
              <w:t>（检测点位图见附图</w:t>
            </w:r>
            <w:r>
              <w:rPr>
                <w:rFonts w:hint="eastAsia"/>
                <w:color w:val="auto"/>
                <w:kern w:val="21"/>
                <w:highlight w:val="none"/>
                <w:shd w:val="clear"/>
                <w:lang w:val="en-US" w:eastAsia="zh-CN"/>
              </w:rPr>
              <w:t>5</w:t>
            </w:r>
            <w:r>
              <w:rPr>
                <w:color w:val="auto"/>
                <w:kern w:val="21"/>
                <w:highlight w:val="none"/>
                <w:shd w:val="clear"/>
              </w:rPr>
              <w:t>）。</w:t>
            </w:r>
          </w:p>
          <w:p>
            <w:pPr>
              <w:pStyle w:val="2"/>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color w:val="auto"/>
                <w:kern w:val="21"/>
              </w:rPr>
            </w:pPr>
            <w:r>
              <w:rPr>
                <w:rFonts w:hint="default" w:ascii="Times New Roman" w:hAnsi="Times New Roman" w:cs="Times New Roman"/>
                <w:color w:val="auto"/>
                <w:kern w:val="21"/>
              </w:rPr>
              <w:t>b.监测因子</w:t>
            </w:r>
            <w:r>
              <w:rPr>
                <w:rFonts w:hint="eastAsia" w:ascii="Times New Roman" w:hAnsi="Times New Roman" w:cs="Times New Roman"/>
                <w:color w:val="auto"/>
                <w:kern w:val="21"/>
                <w:lang w:eastAsia="zh-CN"/>
              </w:rPr>
              <w:t>：</w:t>
            </w:r>
            <w:r>
              <w:rPr>
                <w:rFonts w:hint="default" w:ascii="Times New Roman" w:hAnsi="Times New Roman" w:cs="Times New Roman"/>
                <w:color w:val="auto"/>
                <w:kern w:val="21"/>
              </w:rPr>
              <w:t>TSP。</w:t>
            </w:r>
          </w:p>
          <w:p>
            <w:pPr>
              <w:pStyle w:val="2"/>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auto"/>
                <w:kern w:val="21"/>
              </w:rPr>
            </w:pPr>
            <w:r>
              <w:rPr>
                <w:color w:val="auto"/>
                <w:kern w:val="21"/>
              </w:rPr>
              <w:t>c.监测时间及频次</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color w:val="auto"/>
                <w:kern w:val="21"/>
              </w:rPr>
            </w:pPr>
            <w:r>
              <w:rPr>
                <w:color w:val="auto"/>
                <w:kern w:val="21"/>
              </w:rPr>
              <w:t>TSP检测时间</w:t>
            </w:r>
            <w:r>
              <w:rPr>
                <w:color w:val="auto"/>
                <w:kern w:val="0"/>
                <w:szCs w:val="21"/>
              </w:rPr>
              <w:t>201</w:t>
            </w:r>
            <w:r>
              <w:rPr>
                <w:rFonts w:hint="eastAsia"/>
                <w:color w:val="auto"/>
                <w:kern w:val="0"/>
                <w:szCs w:val="21"/>
                <w:lang w:val="en-US" w:eastAsia="zh-CN"/>
              </w:rPr>
              <w:t>9</w:t>
            </w:r>
            <w:r>
              <w:rPr>
                <w:color w:val="auto"/>
                <w:kern w:val="0"/>
                <w:szCs w:val="21"/>
              </w:rPr>
              <w:t>年</w:t>
            </w:r>
            <w:r>
              <w:rPr>
                <w:rFonts w:hint="eastAsia"/>
                <w:color w:val="auto"/>
                <w:kern w:val="0"/>
                <w:szCs w:val="21"/>
                <w:lang w:val="en-US" w:eastAsia="zh-CN"/>
              </w:rPr>
              <w:t>12</w:t>
            </w:r>
            <w:r>
              <w:rPr>
                <w:color w:val="auto"/>
                <w:kern w:val="0"/>
                <w:szCs w:val="21"/>
              </w:rPr>
              <w:t>月</w:t>
            </w:r>
            <w:r>
              <w:rPr>
                <w:rFonts w:hint="eastAsia"/>
                <w:color w:val="auto"/>
                <w:kern w:val="0"/>
                <w:szCs w:val="21"/>
                <w:lang w:val="en-US" w:eastAsia="zh-CN"/>
              </w:rPr>
              <w:t>17</w:t>
            </w:r>
            <w:r>
              <w:rPr>
                <w:color w:val="auto"/>
                <w:kern w:val="0"/>
                <w:szCs w:val="21"/>
              </w:rPr>
              <w:t>日～201</w:t>
            </w:r>
            <w:r>
              <w:rPr>
                <w:rFonts w:hint="eastAsia"/>
                <w:color w:val="auto"/>
                <w:kern w:val="0"/>
                <w:szCs w:val="21"/>
                <w:lang w:val="en-US" w:eastAsia="zh-CN"/>
              </w:rPr>
              <w:t>9</w:t>
            </w:r>
            <w:r>
              <w:rPr>
                <w:color w:val="auto"/>
                <w:kern w:val="0"/>
                <w:szCs w:val="21"/>
              </w:rPr>
              <w:t>年</w:t>
            </w:r>
            <w:r>
              <w:rPr>
                <w:rFonts w:hint="eastAsia"/>
                <w:color w:val="auto"/>
                <w:kern w:val="0"/>
                <w:szCs w:val="21"/>
                <w:lang w:val="en-US" w:eastAsia="zh-CN"/>
              </w:rPr>
              <w:t>12</w:t>
            </w:r>
            <w:r>
              <w:rPr>
                <w:color w:val="auto"/>
                <w:kern w:val="0"/>
                <w:szCs w:val="21"/>
              </w:rPr>
              <w:t>月</w:t>
            </w:r>
            <w:r>
              <w:rPr>
                <w:rFonts w:hint="eastAsia"/>
                <w:color w:val="auto"/>
                <w:kern w:val="0"/>
                <w:szCs w:val="21"/>
                <w:lang w:val="en-US" w:eastAsia="zh-CN"/>
              </w:rPr>
              <w:t>23</w:t>
            </w:r>
            <w:r>
              <w:rPr>
                <w:color w:val="auto"/>
                <w:kern w:val="0"/>
                <w:szCs w:val="21"/>
              </w:rPr>
              <w:t>日</w:t>
            </w:r>
            <w:r>
              <w:rPr>
                <w:color w:val="auto"/>
                <w:kern w:val="21"/>
              </w:rPr>
              <w:t>，检测</w:t>
            </w:r>
            <w:r>
              <w:rPr>
                <w:rFonts w:hint="eastAsia"/>
                <w:color w:val="auto"/>
                <w:kern w:val="21"/>
                <w:lang w:val="en-US" w:eastAsia="zh-CN"/>
              </w:rPr>
              <w:t>日均值</w:t>
            </w:r>
            <w:r>
              <w:rPr>
                <w:color w:val="auto"/>
                <w:kern w:val="21"/>
              </w:rPr>
              <w:t>，</w:t>
            </w:r>
            <w:r>
              <w:rPr>
                <w:color w:val="auto"/>
              </w:rPr>
              <w:t>连续检测</w:t>
            </w:r>
            <w:r>
              <w:rPr>
                <w:rFonts w:hint="eastAsia"/>
                <w:color w:val="auto"/>
                <w:lang w:val="en-US" w:eastAsia="zh-CN"/>
              </w:rPr>
              <w:t>7</w:t>
            </w:r>
            <w:r>
              <w:rPr>
                <w:color w:val="auto"/>
              </w:rPr>
              <w:t>天</w:t>
            </w:r>
            <w:r>
              <w:rPr>
                <w:color w:val="auto"/>
                <w:kern w:val="21"/>
              </w:rPr>
              <w:t>。</w:t>
            </w:r>
          </w:p>
          <w:p>
            <w:pPr>
              <w:pStyle w:val="2"/>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auto"/>
                <w:kern w:val="21"/>
              </w:rPr>
            </w:pPr>
            <w:r>
              <w:rPr>
                <w:color w:val="auto"/>
                <w:kern w:val="21"/>
              </w:rPr>
              <w:t>d.评价因子与评价标准</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eastAsia="宋体"/>
                <w:color w:val="auto"/>
                <w:kern w:val="21"/>
                <w:lang w:eastAsia="zh-CN"/>
              </w:rPr>
            </w:pPr>
            <w:r>
              <w:rPr>
                <w:color w:val="auto"/>
                <w:kern w:val="21"/>
              </w:rPr>
              <w:t>本次评价因子为TSP。</w:t>
            </w:r>
            <w:r>
              <w:rPr>
                <w:color w:val="auto"/>
              </w:rPr>
              <w:t>TSP采用《</w:t>
            </w:r>
            <w:r>
              <w:rPr>
                <w:color w:val="auto"/>
                <w:szCs w:val="32"/>
              </w:rPr>
              <w:t>环境空气质量标准》（GB3095-2012）中二级标准</w:t>
            </w:r>
            <w:r>
              <w:rPr>
                <w:rFonts w:hint="eastAsia"/>
                <w:color w:val="auto"/>
                <w:szCs w:val="32"/>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auto"/>
                <w:kern w:val="21"/>
              </w:rPr>
            </w:pPr>
            <w:r>
              <w:rPr>
                <w:rFonts w:hint="eastAsia"/>
                <w:color w:val="auto"/>
                <w:kern w:val="21"/>
                <w:lang w:val="en-US" w:eastAsia="zh-CN"/>
              </w:rPr>
              <w:t>e</w:t>
            </w:r>
            <w:r>
              <w:rPr>
                <w:color w:val="auto"/>
                <w:kern w:val="21"/>
              </w:rPr>
              <w:t>.评价分析方法</w:t>
            </w:r>
          </w:p>
          <w:p>
            <w:pPr>
              <w:pStyle w:val="2"/>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auto"/>
                <w:kern w:val="21"/>
              </w:rPr>
            </w:pPr>
            <w:r>
              <w:rPr>
                <w:color w:val="auto"/>
                <w:kern w:val="21"/>
              </w:rPr>
              <w:t>依据《环境空气总悬浮颗粒物的测定重量法》（GB/T15432-1995）。</w:t>
            </w:r>
          </w:p>
          <w:p>
            <w:pPr>
              <w:pStyle w:val="26"/>
              <w:keepNext w:val="0"/>
              <w:keepLines w:val="0"/>
              <w:pageBreakBefore w:val="0"/>
              <w:numPr>
                <w:ilvl w:val="6"/>
                <w:numId w:val="0"/>
              </w:numPr>
              <w:kinsoku/>
              <w:wordWrap/>
              <w:overflowPunct/>
              <w:topLinePunct w:val="0"/>
              <w:bidi w:val="0"/>
              <w:adjustRightInd w:val="0"/>
              <w:snapToGrid w:val="0"/>
              <w:spacing w:line="500" w:lineRule="exact"/>
              <w:textAlignment w:val="auto"/>
            </w:pPr>
            <w:r>
              <w:t>表</w:t>
            </w:r>
            <w:r>
              <w:rPr>
                <w:rFonts w:hint="eastAsia"/>
                <w:lang w:val="en-US" w:eastAsia="zh-CN"/>
              </w:rPr>
              <w:t>3-2</w:t>
            </w:r>
            <w:r>
              <w:t>TSP日均浓度检测结果单位：</w:t>
            </w:r>
            <w:r>
              <w:rPr>
                <w:rFonts w:hint="eastAsia"/>
                <w:lang w:val="en-US" w:eastAsia="zh-CN"/>
              </w:rPr>
              <w:t>mg</w:t>
            </w:r>
            <w:r>
              <w:t>/m³</w:t>
            </w:r>
          </w:p>
          <w:tbl>
            <w:tblPr>
              <w:tblStyle w:val="15"/>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1339"/>
              <w:gridCol w:w="3301"/>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88" w:type="pct"/>
                  <w:vMerge w:val="restart"/>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b/>
                      <w:bCs/>
                      <w:w w:val="100"/>
                      <w:sz w:val="21"/>
                      <w:szCs w:val="21"/>
                    </w:rPr>
                  </w:pPr>
                  <w:r>
                    <w:rPr>
                      <w:rFonts w:hint="default" w:ascii="Times New Roman" w:hAnsi="Times New Roman" w:eastAsia="宋体" w:cs="Times New Roman"/>
                      <w:b/>
                      <w:bCs/>
                      <w:w w:val="100"/>
                      <w:sz w:val="21"/>
                      <w:szCs w:val="21"/>
                    </w:rPr>
                    <w:t>检测点位</w:t>
                  </w:r>
                </w:p>
              </w:tc>
              <w:tc>
                <w:tcPr>
                  <w:tcW w:w="863" w:type="pct"/>
                  <w:vMerge w:val="restart"/>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eastAsia" w:ascii="Times New Roman" w:hAnsi="Times New Roman" w:eastAsia="宋体" w:cs="Times New Roman"/>
                      <w:b/>
                      <w:bCs/>
                      <w:w w:val="100"/>
                      <w:sz w:val="21"/>
                      <w:szCs w:val="21"/>
                      <w:lang w:eastAsia="zh-CN"/>
                    </w:rPr>
                  </w:pPr>
                  <w:r>
                    <w:rPr>
                      <w:rFonts w:hint="eastAsia" w:cs="Times New Roman"/>
                      <w:b/>
                      <w:bCs/>
                      <w:w w:val="100"/>
                      <w:sz w:val="21"/>
                      <w:szCs w:val="21"/>
                      <w:lang w:eastAsia="zh-CN"/>
                    </w:rPr>
                    <w:t>采样日期</w:t>
                  </w:r>
                </w:p>
              </w:tc>
              <w:tc>
                <w:tcPr>
                  <w:tcW w:w="2127" w:type="pct"/>
                  <w:vMerge w:val="restart"/>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b/>
                      <w:bCs/>
                      <w:w w:val="100"/>
                      <w:sz w:val="21"/>
                      <w:szCs w:val="21"/>
                      <w:lang w:val="en-US"/>
                    </w:rPr>
                  </w:pPr>
                  <w:r>
                    <w:rPr>
                      <w:rFonts w:hint="eastAsia" w:cs="Times New Roman"/>
                      <w:b/>
                      <w:bCs/>
                      <w:w w:val="100"/>
                      <w:sz w:val="21"/>
                      <w:szCs w:val="21"/>
                      <w:lang w:val="en-US" w:eastAsia="zh-CN"/>
                    </w:rPr>
                    <w:t>采样起止日期</w:t>
                  </w:r>
                </w:p>
              </w:tc>
              <w:tc>
                <w:tcPr>
                  <w:tcW w:w="1220" w:type="pct"/>
                  <w:noWrap w:val="0"/>
                  <w:vAlign w:val="center"/>
                </w:tcPr>
                <w:p>
                  <w:pPr>
                    <w:widowControl/>
                    <w:pBdr>
                      <w:top w:val="none" w:color="auto" w:sz="0" w:space="1"/>
                      <w:left w:val="none" w:color="auto" w:sz="0" w:space="4"/>
                      <w:bottom w:val="none" w:color="auto" w:sz="0" w:space="1"/>
                      <w:right w:val="none" w:color="auto" w:sz="0" w:space="4"/>
                    </w:pBdr>
                    <w:spacing w:line="240" w:lineRule="auto"/>
                    <w:ind w:left="0" w:leftChars="0" w:right="0" w:rightChars="0" w:firstLine="0" w:firstLineChars="0"/>
                    <w:jc w:val="center"/>
                    <w:rPr>
                      <w:rFonts w:hint="default" w:ascii="Times New Roman" w:hAnsi="Times New Roman" w:eastAsia="宋体" w:cs="Times New Roman"/>
                      <w:b/>
                      <w:bCs/>
                      <w:w w:val="100"/>
                      <w:sz w:val="21"/>
                      <w:szCs w:val="21"/>
                      <w:lang w:val="en-US"/>
                    </w:rPr>
                  </w:pPr>
                  <w:r>
                    <w:rPr>
                      <w:rFonts w:hint="eastAsia" w:cs="Times New Roman"/>
                      <w:b/>
                      <w:bCs/>
                      <w:w w:val="100"/>
                      <w:sz w:val="21"/>
                      <w:szCs w:val="21"/>
                      <w:lang w:val="en-US" w:eastAsia="zh-CN"/>
                    </w:rPr>
                    <w:t>日均值（mg/m</w:t>
                  </w:r>
                  <w:r>
                    <w:rPr>
                      <w:rFonts w:hint="eastAsia" w:cs="Times New Roman"/>
                      <w:b/>
                      <w:bCs/>
                      <w:w w:val="100"/>
                      <w:sz w:val="21"/>
                      <w:szCs w:val="21"/>
                      <w:vertAlign w:val="superscript"/>
                      <w:lang w:val="en-US" w:eastAsia="zh-CN"/>
                    </w:rPr>
                    <w:t>3</w:t>
                  </w:r>
                  <w:r>
                    <w:rPr>
                      <w:rFonts w:hint="eastAsia" w:cs="Times New Roman"/>
                      <w:b/>
                      <w:bCs/>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88" w:type="pct"/>
                  <w:vMerge w:val="continue"/>
                  <w:noWrap w:val="0"/>
                  <w:vAlign w:val="center"/>
                </w:tcPr>
                <w:p>
                  <w:pPr>
                    <w:widowControl/>
                    <w:pBdr>
                      <w:top w:val="none" w:color="auto" w:sz="0" w:space="1"/>
                      <w:left w:val="none" w:color="auto" w:sz="0" w:space="4"/>
                      <w:bottom w:val="none" w:color="auto" w:sz="0" w:space="1"/>
                      <w:right w:val="none" w:color="auto" w:sz="0" w:space="4"/>
                    </w:pBdr>
                    <w:spacing w:line="240" w:lineRule="auto"/>
                    <w:ind w:left="0" w:leftChars="0" w:right="0" w:rightChars="0" w:firstLine="0" w:firstLineChars="0"/>
                    <w:jc w:val="center"/>
                  </w:pPr>
                </w:p>
              </w:tc>
              <w:tc>
                <w:tcPr>
                  <w:tcW w:w="863" w:type="pct"/>
                  <w:vMerge w:val="continue"/>
                  <w:noWrap w:val="0"/>
                  <w:vAlign w:val="center"/>
                </w:tcPr>
                <w:p>
                  <w:pPr>
                    <w:widowControl/>
                    <w:pBdr>
                      <w:top w:val="none" w:color="auto" w:sz="0" w:space="1"/>
                      <w:left w:val="none" w:color="auto" w:sz="0" w:space="4"/>
                      <w:bottom w:val="none" w:color="auto" w:sz="0" w:space="1"/>
                      <w:right w:val="none" w:color="auto" w:sz="0" w:space="4"/>
                    </w:pBdr>
                    <w:spacing w:line="240" w:lineRule="auto"/>
                    <w:ind w:left="0" w:leftChars="0" w:right="0" w:rightChars="0" w:firstLine="0" w:firstLineChars="0"/>
                    <w:jc w:val="center"/>
                  </w:pPr>
                </w:p>
              </w:tc>
              <w:tc>
                <w:tcPr>
                  <w:tcW w:w="2127" w:type="pct"/>
                  <w:vMerge w:val="continue"/>
                  <w:noWrap w:val="0"/>
                  <w:vAlign w:val="center"/>
                </w:tcPr>
                <w:p>
                  <w:pPr>
                    <w:widowControl/>
                    <w:pBdr>
                      <w:top w:val="none" w:color="auto" w:sz="0" w:space="1"/>
                      <w:left w:val="none" w:color="auto" w:sz="0" w:space="4"/>
                      <w:bottom w:val="none" w:color="auto" w:sz="0" w:space="1"/>
                      <w:right w:val="none" w:color="auto" w:sz="0" w:space="4"/>
                    </w:pBdr>
                    <w:spacing w:line="240" w:lineRule="auto"/>
                    <w:ind w:left="0" w:leftChars="0" w:right="0" w:rightChars="0" w:firstLine="0" w:firstLineChars="0"/>
                    <w:jc w:val="center"/>
                  </w:pPr>
                </w:p>
              </w:tc>
              <w:tc>
                <w:tcPr>
                  <w:tcW w:w="1220" w:type="pct"/>
                  <w:noWrap w:val="0"/>
                  <w:vAlign w:val="center"/>
                </w:tcPr>
                <w:p>
                  <w:pPr>
                    <w:widowControl/>
                    <w:pBdr>
                      <w:top w:val="none" w:color="auto" w:sz="0" w:space="1"/>
                      <w:left w:val="none" w:color="auto" w:sz="0" w:space="4"/>
                      <w:bottom w:val="none" w:color="auto" w:sz="0" w:space="1"/>
                      <w:right w:val="none" w:color="auto" w:sz="0" w:space="4"/>
                    </w:pBdr>
                    <w:spacing w:line="240" w:lineRule="auto"/>
                    <w:ind w:left="0" w:leftChars="0" w:right="0" w:rightChars="0" w:firstLine="0" w:firstLineChars="0"/>
                    <w:jc w:val="center"/>
                    <w:rPr>
                      <w:rFonts w:hint="eastAsia" w:cs="Times New Roman"/>
                      <w:b/>
                      <w:bCs/>
                      <w:w w:val="100"/>
                      <w:sz w:val="21"/>
                      <w:szCs w:val="21"/>
                      <w:lang w:val="en-US" w:eastAsia="zh-CN"/>
                    </w:rPr>
                  </w:pPr>
                  <w:r>
                    <w:rPr>
                      <w:rFonts w:hint="eastAsia" w:cs="Times New Roman"/>
                      <w:b/>
                      <w:bCs/>
                      <w:w w:val="100"/>
                      <w:sz w:val="21"/>
                      <w:szCs w:val="21"/>
                      <w:lang w:val="en-US" w:eastAsia="zh-CN"/>
                    </w:rPr>
                    <w:t>总悬浮颗粒物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8" w:type="pct"/>
                  <w:vMerge w:val="restart"/>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rPr>
                  </w:pPr>
                  <w:r>
                    <w:rPr>
                      <w:rFonts w:hint="default" w:ascii="Times New Roman" w:hAnsi="Times New Roman" w:eastAsia="宋体" w:cs="Times New Roman"/>
                      <w:w w:val="100"/>
                      <w:sz w:val="21"/>
                      <w:szCs w:val="21"/>
                    </w:rPr>
                    <w:t>厂区</w:t>
                  </w:r>
                </w:p>
              </w:tc>
              <w:tc>
                <w:tcPr>
                  <w:tcW w:w="863" w:type="pct"/>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lang w:val="en-US" w:eastAsia="zh-CN"/>
                    </w:rPr>
                  </w:pPr>
                  <w:r>
                    <w:rPr>
                      <w:rFonts w:hint="eastAsia" w:cs="Times New Roman"/>
                      <w:w w:val="100"/>
                      <w:sz w:val="21"/>
                      <w:szCs w:val="21"/>
                      <w:lang w:val="en-US" w:eastAsia="zh-CN"/>
                    </w:rPr>
                    <w:t>12.17</w:t>
                  </w:r>
                </w:p>
              </w:tc>
              <w:tc>
                <w:tcPr>
                  <w:tcW w:w="2127" w:type="pct"/>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12月17日00：00-12月18日00：00</w:t>
                  </w:r>
                </w:p>
              </w:tc>
              <w:tc>
                <w:tcPr>
                  <w:tcW w:w="1220" w:type="pct"/>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8" w:type="pct"/>
                  <w:vMerge w:val="continue"/>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rPr>
                  </w:pPr>
                </w:p>
              </w:tc>
              <w:tc>
                <w:tcPr>
                  <w:tcW w:w="863" w:type="pct"/>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lang w:val="en-US" w:eastAsia="zh-CN"/>
                    </w:rPr>
                  </w:pPr>
                  <w:r>
                    <w:rPr>
                      <w:rFonts w:hint="eastAsia" w:cs="Times New Roman"/>
                      <w:w w:val="100"/>
                      <w:sz w:val="21"/>
                      <w:szCs w:val="21"/>
                      <w:lang w:val="en-US" w:eastAsia="zh-CN"/>
                    </w:rPr>
                    <w:t>12.18</w:t>
                  </w:r>
                </w:p>
              </w:tc>
              <w:tc>
                <w:tcPr>
                  <w:tcW w:w="3301" w:type="dxa"/>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eastAsia"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12月18日00：00-12月19日00：00</w:t>
                  </w:r>
                </w:p>
              </w:tc>
              <w:tc>
                <w:tcPr>
                  <w:tcW w:w="1894" w:type="dxa"/>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eastAsia"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0.159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8" w:type="pct"/>
                  <w:vMerge w:val="continue"/>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rPr>
                  </w:pPr>
                </w:p>
              </w:tc>
              <w:tc>
                <w:tcPr>
                  <w:tcW w:w="863" w:type="pct"/>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lang w:val="en-US" w:eastAsia="zh-CN"/>
                    </w:rPr>
                  </w:pPr>
                  <w:r>
                    <w:rPr>
                      <w:rFonts w:hint="eastAsia" w:cs="Times New Roman"/>
                      <w:w w:val="100"/>
                      <w:sz w:val="21"/>
                      <w:szCs w:val="21"/>
                      <w:lang w:val="en-US" w:eastAsia="zh-CN"/>
                    </w:rPr>
                    <w:t>12.19</w:t>
                  </w:r>
                </w:p>
              </w:tc>
              <w:tc>
                <w:tcPr>
                  <w:tcW w:w="3301" w:type="dxa"/>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eastAsia"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12月19日00：00-12月20日00：00</w:t>
                  </w:r>
                </w:p>
              </w:tc>
              <w:tc>
                <w:tcPr>
                  <w:tcW w:w="1894" w:type="dxa"/>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8" w:type="pct"/>
                  <w:vMerge w:val="continue"/>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rPr>
                  </w:pPr>
                </w:p>
              </w:tc>
              <w:tc>
                <w:tcPr>
                  <w:tcW w:w="863" w:type="pct"/>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lang w:val="en-US" w:eastAsia="zh-CN"/>
                    </w:rPr>
                  </w:pPr>
                  <w:r>
                    <w:rPr>
                      <w:rFonts w:hint="eastAsia" w:cs="Times New Roman"/>
                      <w:w w:val="100"/>
                      <w:sz w:val="21"/>
                      <w:szCs w:val="21"/>
                      <w:lang w:val="en-US" w:eastAsia="zh-CN"/>
                    </w:rPr>
                    <w:t>12.20</w:t>
                  </w:r>
                </w:p>
              </w:tc>
              <w:tc>
                <w:tcPr>
                  <w:tcW w:w="3301" w:type="dxa"/>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eastAsia"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12月20日00：00-12月21日00：00</w:t>
                  </w:r>
                </w:p>
              </w:tc>
              <w:tc>
                <w:tcPr>
                  <w:tcW w:w="1894" w:type="dxa"/>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8" w:type="pct"/>
                  <w:vMerge w:val="continue"/>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rPr>
                  </w:pPr>
                </w:p>
              </w:tc>
              <w:tc>
                <w:tcPr>
                  <w:tcW w:w="863" w:type="pct"/>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lang w:val="en-US" w:eastAsia="zh-CN"/>
                    </w:rPr>
                  </w:pPr>
                  <w:r>
                    <w:rPr>
                      <w:rFonts w:hint="eastAsia" w:cs="Times New Roman"/>
                      <w:w w:val="100"/>
                      <w:sz w:val="21"/>
                      <w:szCs w:val="21"/>
                      <w:lang w:val="en-US" w:eastAsia="zh-CN"/>
                    </w:rPr>
                    <w:t>12.21</w:t>
                  </w:r>
                </w:p>
              </w:tc>
              <w:tc>
                <w:tcPr>
                  <w:tcW w:w="3301" w:type="dxa"/>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eastAsia"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12月21日00：00-12月22日00：00</w:t>
                  </w:r>
                </w:p>
              </w:tc>
              <w:tc>
                <w:tcPr>
                  <w:tcW w:w="1894" w:type="dxa"/>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8" w:type="pct"/>
                  <w:vMerge w:val="continue"/>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rPr>
                  </w:pPr>
                </w:p>
              </w:tc>
              <w:tc>
                <w:tcPr>
                  <w:tcW w:w="863" w:type="pct"/>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lang w:val="en-US" w:eastAsia="zh-CN"/>
                    </w:rPr>
                  </w:pPr>
                  <w:r>
                    <w:rPr>
                      <w:rFonts w:hint="eastAsia" w:cs="Times New Roman"/>
                      <w:w w:val="100"/>
                      <w:sz w:val="21"/>
                      <w:szCs w:val="21"/>
                      <w:lang w:val="en-US" w:eastAsia="zh-CN"/>
                    </w:rPr>
                    <w:t>12.22</w:t>
                  </w:r>
                </w:p>
              </w:tc>
              <w:tc>
                <w:tcPr>
                  <w:tcW w:w="3301" w:type="dxa"/>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eastAsia"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12月22日00：00-12月23日00：00</w:t>
                  </w:r>
                </w:p>
              </w:tc>
              <w:tc>
                <w:tcPr>
                  <w:tcW w:w="1894" w:type="dxa"/>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8" w:type="pct"/>
                  <w:vMerge w:val="continue"/>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rPr>
                  </w:pPr>
                </w:p>
              </w:tc>
              <w:tc>
                <w:tcPr>
                  <w:tcW w:w="863" w:type="pct"/>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w w:val="100"/>
                      <w:sz w:val="21"/>
                      <w:szCs w:val="21"/>
                      <w:lang w:val="en-US" w:eastAsia="zh-CN"/>
                    </w:rPr>
                  </w:pPr>
                  <w:r>
                    <w:rPr>
                      <w:rFonts w:hint="eastAsia" w:cs="Times New Roman"/>
                      <w:w w:val="100"/>
                      <w:sz w:val="21"/>
                      <w:szCs w:val="21"/>
                      <w:lang w:val="en-US" w:eastAsia="zh-CN"/>
                    </w:rPr>
                    <w:t>12.23</w:t>
                  </w:r>
                </w:p>
              </w:tc>
              <w:tc>
                <w:tcPr>
                  <w:tcW w:w="3301" w:type="dxa"/>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eastAsia"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12月23日00：00-12月24日00：00</w:t>
                  </w:r>
                </w:p>
              </w:tc>
              <w:tc>
                <w:tcPr>
                  <w:tcW w:w="1894" w:type="dxa"/>
                  <w:noWrap w:val="0"/>
                  <w:vAlign w:val="center"/>
                </w:tcPr>
                <w:p>
                  <w:pPr>
                    <w:widowControl/>
                    <w:pBdr>
                      <w:top w:val="none" w:color="auto" w:sz="0" w:space="1"/>
                      <w:left w:val="none" w:color="auto" w:sz="0" w:space="4"/>
                      <w:bottom w:val="none" w:color="auto" w:sz="0" w:space="1"/>
                      <w:right w:val="none" w:color="auto" w:sz="0" w:space="4"/>
                    </w:pBdr>
                    <w:spacing w:line="240" w:lineRule="auto"/>
                    <w:ind w:firstLine="0" w:firstLineChars="0"/>
                    <w:jc w:val="center"/>
                    <w:rPr>
                      <w:rFonts w:hint="default" w:cs="Times New Roman"/>
                      <w:color w:val="auto"/>
                      <w:w w:val="100"/>
                      <w:sz w:val="21"/>
                      <w:szCs w:val="21"/>
                      <w:highlight w:val="none"/>
                      <w:lang w:val="en-US" w:eastAsia="zh-CN"/>
                    </w:rPr>
                  </w:pPr>
                  <w:r>
                    <w:rPr>
                      <w:rFonts w:hint="eastAsia" w:cs="Times New Roman"/>
                      <w:color w:val="auto"/>
                      <w:w w:val="100"/>
                      <w:sz w:val="21"/>
                      <w:szCs w:val="21"/>
                      <w:highlight w:val="none"/>
                      <w:lang w:val="en-US" w:eastAsia="zh-CN"/>
                    </w:rPr>
                    <w:t>0.152</w:t>
                  </w:r>
                </w:p>
              </w:tc>
            </w:tr>
          </w:tbl>
          <w:p>
            <w:pPr>
              <w:pStyle w:val="2"/>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color w:val="auto"/>
                <w:kern w:val="21"/>
              </w:rPr>
            </w:pPr>
            <w:r>
              <w:rPr>
                <w:rFonts w:hint="eastAsia"/>
                <w:color w:val="auto"/>
                <w:kern w:val="21"/>
                <w:lang w:val="en-US" w:eastAsia="zh-CN"/>
              </w:rPr>
              <w:t>f</w:t>
            </w:r>
            <w:r>
              <w:rPr>
                <w:color w:val="auto"/>
                <w:kern w:val="21"/>
              </w:rPr>
              <w:t>.结果分析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color w:val="auto"/>
                <w:spacing w:val="0"/>
                <w:w w:val="100"/>
                <w:sz w:val="24"/>
                <w:szCs w:val="32"/>
              </w:rPr>
              <w:t>根据上表可知，项目区域的环境空气质量中</w:t>
            </w:r>
            <w:r>
              <w:rPr>
                <w:rFonts w:hint="default" w:ascii="Times New Roman" w:hAnsi="Times New Roman" w:eastAsia="宋体" w:cs="Times New Roman"/>
                <w:color w:val="auto"/>
                <w:spacing w:val="0"/>
                <w:w w:val="100"/>
                <w:sz w:val="24"/>
                <w:szCs w:val="32"/>
                <w:lang w:val="en-US" w:eastAsia="zh-CN"/>
              </w:rPr>
              <w:t>TSP</w:t>
            </w:r>
            <w:r>
              <w:rPr>
                <w:rFonts w:hint="default" w:ascii="Times New Roman" w:hAnsi="Times New Roman" w:eastAsia="宋体" w:cs="Times New Roman"/>
                <w:color w:val="auto"/>
                <w:spacing w:val="0"/>
                <w:w w:val="100"/>
                <w:sz w:val="24"/>
                <w:szCs w:val="32"/>
                <w:lang w:eastAsia="zh-CN"/>
              </w:rPr>
              <w:t>检测的</w:t>
            </w:r>
            <w:r>
              <w:rPr>
                <w:rFonts w:hint="default" w:ascii="Times New Roman" w:hAnsi="Times New Roman" w:eastAsia="宋体" w:cs="Times New Roman"/>
                <w:color w:val="auto"/>
                <w:spacing w:val="0"/>
                <w:w w:val="100"/>
                <w:sz w:val="24"/>
                <w:szCs w:val="32"/>
              </w:rPr>
              <w:t>污染物浓度均不超标，</w:t>
            </w:r>
            <w:r>
              <w:rPr>
                <w:rFonts w:hint="default" w:ascii="Times New Roman" w:hAnsi="Times New Roman" w:eastAsia="宋体" w:cs="Times New Roman"/>
                <w:color w:val="auto"/>
                <w:spacing w:val="0"/>
                <w:w w:val="100"/>
                <w:sz w:val="24"/>
                <w:szCs w:val="32"/>
                <w:lang w:val="en-US" w:eastAsia="zh-CN"/>
              </w:rPr>
              <w:t>TSP</w:t>
            </w:r>
            <w:r>
              <w:rPr>
                <w:rFonts w:hint="default" w:ascii="Times New Roman" w:hAnsi="Times New Roman" w:eastAsia="宋体" w:cs="Times New Roman"/>
                <w:color w:val="auto"/>
                <w:spacing w:val="0"/>
                <w:w w:val="100"/>
                <w:sz w:val="24"/>
                <w:szCs w:val="32"/>
                <w:lang w:eastAsia="zh-CN"/>
              </w:rPr>
              <w:t>检测</w:t>
            </w:r>
            <w:r>
              <w:rPr>
                <w:rFonts w:hint="default" w:ascii="Times New Roman" w:hAnsi="Times New Roman" w:eastAsia="宋体" w:cs="Times New Roman"/>
                <w:color w:val="auto"/>
                <w:spacing w:val="0"/>
                <w:w w:val="100"/>
                <w:sz w:val="24"/>
                <w:szCs w:val="32"/>
              </w:rPr>
              <w:t>结果符合《环境空气质量标准》（GB3095-2012）</w:t>
            </w:r>
            <w:r>
              <w:rPr>
                <w:rFonts w:hint="default" w:ascii="Times New Roman" w:hAnsi="Times New Roman" w:eastAsia="宋体" w:cs="Times New Roman"/>
                <w:color w:val="auto"/>
                <w:sz w:val="24"/>
                <w:szCs w:val="32"/>
                <w:lang w:val="en-US" w:eastAsia="zh-CN"/>
              </w:rPr>
              <w:t>中二级标准</w:t>
            </w:r>
            <w:r>
              <w:rPr>
                <w:rFonts w:hint="eastAsia" w:ascii="Times New Roman" w:hAnsi="Times New Roman" w:eastAsia="宋体" w:cs="Times New Roman"/>
                <w:color w:val="auto"/>
                <w:sz w:val="24"/>
                <w:szCs w:val="32"/>
                <w:lang w:val="en-US" w:eastAsia="zh-CN"/>
              </w:rPr>
              <w:t>及其修改单</w:t>
            </w:r>
            <w:r>
              <w:rPr>
                <w:rFonts w:hint="default" w:ascii="Times New Roman" w:hAnsi="Times New Roman" w:eastAsia="宋体" w:cs="Times New Roman"/>
                <w:color w:val="auto"/>
                <w:sz w:val="24"/>
                <w:szCs w:val="32"/>
                <w:lang w:val="en-US" w:eastAsia="zh-CN"/>
              </w:rPr>
              <w:t>。</w:t>
            </w:r>
          </w:p>
          <w:p>
            <w:pPr>
              <w:pStyle w:val="27"/>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eastAsia="宋体" w:cs="Times New Roman"/>
                <w:b/>
                <w:bCs w:val="0"/>
                <w:sz w:val="24"/>
              </w:rPr>
            </w:pPr>
            <w:r>
              <w:rPr>
                <w:rFonts w:hint="default" w:ascii="Times New Roman" w:hAnsi="Times New Roman" w:eastAsia="宋体" w:cs="Times New Roman"/>
                <w:b/>
                <w:bCs w:val="0"/>
                <w:sz w:val="24"/>
                <w:lang w:val="en-US" w:eastAsia="zh-CN"/>
              </w:rPr>
              <w:t>3、</w:t>
            </w:r>
            <w:r>
              <w:rPr>
                <w:rFonts w:hint="default" w:ascii="Times New Roman" w:hAnsi="Times New Roman" w:eastAsia="宋体" w:cs="Times New Roman"/>
                <w:b/>
                <w:bCs w:val="0"/>
                <w:sz w:val="24"/>
              </w:rPr>
              <w:t>声环境质量</w:t>
            </w:r>
            <w:bookmarkEnd w:id="0"/>
            <w:bookmarkEnd w:id="1"/>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sz w:val="24"/>
                <w:szCs w:val="24"/>
                <w:lang w:val="en-US" w:eastAsia="zh-CN"/>
              </w:rPr>
            </w:pPr>
            <w:bookmarkStart w:id="2" w:name="_Toc497507373"/>
            <w:r>
              <w:rPr>
                <w:rFonts w:hint="default" w:eastAsia="宋体"/>
                <w:sz w:val="24"/>
                <w:szCs w:val="24"/>
                <w:lang w:val="en-US" w:eastAsia="zh-CN"/>
              </w:rPr>
              <w:t>根据《</w:t>
            </w:r>
            <w:r>
              <w:rPr>
                <w:rFonts w:hint="eastAsia"/>
                <w:sz w:val="24"/>
                <w:szCs w:val="24"/>
                <w:lang w:val="en-US" w:eastAsia="zh-CN"/>
              </w:rPr>
              <w:t>2021</w:t>
            </w:r>
            <w:r>
              <w:rPr>
                <w:rFonts w:hint="default" w:eastAsia="宋体"/>
                <w:sz w:val="24"/>
                <w:szCs w:val="24"/>
                <w:lang w:val="en-US" w:eastAsia="zh-CN"/>
              </w:rPr>
              <w:t>年承德市环境状况公报》，</w:t>
            </w:r>
            <w:r>
              <w:rPr>
                <w:rFonts w:hint="eastAsia"/>
                <w:sz w:val="24"/>
                <w:szCs w:val="24"/>
                <w:lang w:val="en-US" w:eastAsia="zh-CN"/>
              </w:rPr>
              <w:t>各类功能区全年声环境质量按照《声环境质量标准》（GB3096-2008）标准评价，2021年承德市各类功能区全年声环境均达到国家功能区标准。与2020年相比，除2类区夜间噪声、4类区夜间噪声等效声级均值有所下降外，1类区昼夜、2类区昼夜、3类区昼夜、4类区昼夜噪声等效声级均值均有所上升。</w:t>
            </w:r>
          </w:p>
          <w:p>
            <w:pPr>
              <w:pStyle w:val="27"/>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lang w:val="en-US" w:eastAsia="zh-CN"/>
              </w:rPr>
              <w:t>4、</w:t>
            </w:r>
            <w:r>
              <w:rPr>
                <w:rFonts w:hint="default" w:ascii="Times New Roman" w:hAnsi="Times New Roman" w:eastAsia="宋体" w:cs="Times New Roman"/>
                <w:b/>
                <w:bCs w:val="0"/>
                <w:color w:val="auto"/>
                <w:sz w:val="24"/>
              </w:rPr>
              <w:t>水环境质量</w:t>
            </w:r>
            <w:bookmarkEnd w:id="2"/>
          </w:p>
          <w:p>
            <w:pPr>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rPr>
            </w:pPr>
            <w:bookmarkStart w:id="3" w:name="_Toc497507374"/>
            <w:r>
              <w:rPr>
                <w:rFonts w:hint="eastAsia"/>
                <w:color w:val="auto"/>
                <w:highlight w:val="none"/>
                <w:lang w:eastAsia="zh-CN"/>
              </w:rPr>
              <w:t>项目</w:t>
            </w:r>
            <w:r>
              <w:rPr>
                <w:rFonts w:hint="eastAsia"/>
                <w:color w:val="auto"/>
                <w:highlight w:val="none"/>
                <w:lang w:val="en-US" w:eastAsia="zh-CN"/>
              </w:rPr>
              <w:t>南侧586米处为柳河支流。</w:t>
            </w:r>
            <w:r>
              <w:rPr>
                <w:rFonts w:hint="eastAsia"/>
                <w:color w:val="auto"/>
                <w:highlight w:val="none"/>
              </w:rPr>
              <w:t>根据《</w:t>
            </w:r>
            <w:r>
              <w:rPr>
                <w:rFonts w:hint="eastAsia"/>
                <w:color w:val="auto"/>
                <w:highlight w:val="none"/>
                <w:lang w:eastAsia="zh-CN"/>
              </w:rPr>
              <w:t>20</w:t>
            </w:r>
            <w:r>
              <w:rPr>
                <w:rFonts w:hint="eastAsia"/>
                <w:color w:val="auto"/>
                <w:highlight w:val="none"/>
                <w:lang w:val="en-US" w:eastAsia="zh-CN"/>
              </w:rPr>
              <w:t>21</w:t>
            </w:r>
            <w:r>
              <w:rPr>
                <w:rFonts w:hint="eastAsia"/>
                <w:color w:val="auto"/>
                <w:highlight w:val="none"/>
                <w:lang w:eastAsia="zh-CN"/>
              </w:rPr>
              <w:t>年承德市环境状况公报</w:t>
            </w:r>
            <w:r>
              <w:rPr>
                <w:rFonts w:hint="eastAsia"/>
                <w:color w:val="auto"/>
                <w:highlight w:val="none"/>
              </w:rPr>
              <w:t>》，</w:t>
            </w:r>
            <w:r>
              <w:rPr>
                <w:rFonts w:hint="eastAsia"/>
                <w:color w:val="auto"/>
                <w:highlight w:val="none"/>
                <w:lang w:eastAsia="zh-CN"/>
              </w:rPr>
              <w:t>柳河共布设地表水常规监测断面</w:t>
            </w:r>
            <w:r>
              <w:rPr>
                <w:rFonts w:hint="eastAsia"/>
                <w:color w:val="auto"/>
                <w:highlight w:val="none"/>
                <w:lang w:val="en-US" w:eastAsia="zh-CN"/>
              </w:rPr>
              <w:t>3个，2021年三块石、大杖子二断面水质类别均为Ⅰ类，26#桥断面水质类别为Ⅱ类，柳河流域总体水质状况为优，与2020年相比继续保持优的水质</w:t>
            </w:r>
            <w:r>
              <w:rPr>
                <w:rFonts w:hint="default" w:ascii="Times New Roman" w:hAnsi="Times New Roman" w:eastAsia="宋体" w:cs="Times New Roman"/>
                <w:color w:val="auto"/>
                <w:sz w:val="24"/>
              </w:rPr>
              <w:t>。</w:t>
            </w:r>
          </w:p>
          <w:p>
            <w:pPr>
              <w:pStyle w:val="27"/>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lang w:val="en-US" w:eastAsia="zh-CN"/>
              </w:rPr>
              <w:t>5、</w:t>
            </w:r>
            <w:r>
              <w:rPr>
                <w:rFonts w:hint="default" w:ascii="Times New Roman" w:hAnsi="Times New Roman" w:eastAsia="宋体" w:cs="Times New Roman"/>
                <w:b/>
                <w:bCs/>
                <w:sz w:val="24"/>
              </w:rPr>
              <w:t>生态环境质量</w:t>
            </w:r>
            <w:bookmarkEnd w:id="3"/>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pPr>
            <w:r>
              <w:rPr>
                <w:rFonts w:hint="default" w:ascii="Times New Roman" w:hAnsi="Times New Roman" w:eastAsia="宋体" w:cs="Times New Roman"/>
                <w:sz w:val="24"/>
              </w:rPr>
              <w:t>项目区域</w:t>
            </w:r>
            <w:r>
              <w:rPr>
                <w:rFonts w:hint="default" w:ascii="Times New Roman" w:hAnsi="Times New Roman" w:eastAsia="宋体" w:cs="Times New Roman"/>
                <w:sz w:val="24"/>
                <w:lang w:eastAsia="zh-CN"/>
              </w:rPr>
              <w:t>均</w:t>
            </w:r>
            <w:r>
              <w:rPr>
                <w:rFonts w:hint="default" w:ascii="Times New Roman" w:hAnsi="Times New Roman" w:eastAsia="宋体" w:cs="Times New Roman"/>
                <w:sz w:val="24"/>
              </w:rPr>
              <w:t>为山区农村环境，</w:t>
            </w:r>
            <w:r>
              <w:rPr>
                <w:rFonts w:hint="eastAsia" w:ascii="Times New Roman" w:hAnsi="Times New Roman" w:eastAsia="宋体" w:cs="Times New Roman"/>
                <w:sz w:val="24"/>
                <w:lang w:eastAsia="zh-CN"/>
              </w:rPr>
              <w:t>厂</w:t>
            </w:r>
            <w:r>
              <w:rPr>
                <w:rFonts w:hint="default" w:ascii="Times New Roman" w:hAnsi="Times New Roman" w:eastAsia="宋体" w:cs="Times New Roman"/>
                <w:sz w:val="24"/>
              </w:rPr>
              <w:t>区周围为</w:t>
            </w:r>
            <w:r>
              <w:rPr>
                <w:rFonts w:hint="default" w:ascii="Times New Roman" w:hAnsi="Times New Roman" w:eastAsia="宋体" w:cs="Times New Roman"/>
                <w:sz w:val="24"/>
                <w:lang w:eastAsia="zh-CN"/>
              </w:rPr>
              <w:t>山坡</w:t>
            </w:r>
            <w:r>
              <w:rPr>
                <w:rFonts w:hint="default" w:ascii="Times New Roman" w:hAnsi="Times New Roman" w:eastAsia="宋体" w:cs="Times New Roman"/>
                <w:color w:val="000000"/>
                <w:sz w:val="24"/>
              </w:rPr>
              <w:t>地</w:t>
            </w:r>
            <w:r>
              <w:rPr>
                <w:rFonts w:hint="default" w:ascii="Times New Roman" w:hAnsi="Times New Roman" w:eastAsia="宋体" w:cs="Times New Roman"/>
                <w:sz w:val="24"/>
              </w:rPr>
              <w:t>，区域内山体表层植被覆盖率较好，主要植被为灌木及杂草，生态环境质量较好</w:t>
            </w:r>
            <w:r>
              <w:rPr>
                <w:rFonts w:hint="default" w:ascii="Times New Roman" w:hAnsi="Times New Roman" w:eastAsia="宋体" w:cs="Times New Roman"/>
                <w:sz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eastAsia"/>
                <w:b/>
                <w:bCs/>
                <w:color w:val="auto"/>
                <w:lang w:eastAsia="zh-CN"/>
              </w:rPr>
            </w:pPr>
            <w:r>
              <w:rPr>
                <w:rFonts w:hint="eastAsia"/>
                <w:b/>
                <w:bCs/>
                <w:color w:val="auto"/>
                <w:lang w:val="en-US" w:eastAsia="zh-CN"/>
              </w:rPr>
              <w:t>6</w:t>
            </w:r>
            <w:r>
              <w:rPr>
                <w:rFonts w:hint="default"/>
                <w:b/>
                <w:bCs/>
                <w:color w:val="auto"/>
                <w:lang w:val="en-US" w:eastAsia="zh-CN"/>
              </w:rPr>
              <w:t>、</w:t>
            </w:r>
            <w:r>
              <w:rPr>
                <w:rFonts w:hint="default"/>
                <w:b/>
                <w:bCs/>
                <w:color w:val="auto"/>
              </w:rPr>
              <w:t>地下水</w:t>
            </w:r>
            <w:r>
              <w:rPr>
                <w:rFonts w:hint="eastAsia"/>
                <w:b/>
                <w:bCs/>
                <w:color w:val="auto"/>
                <w:lang w:eastAsia="zh-CN"/>
              </w:rPr>
              <w:t>环境</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ascii="Times New Roman" w:hAnsi="Times New Roman" w:eastAsia="宋体"/>
                <w:color w:val="auto"/>
                <w:lang w:val="en-US" w:eastAsia="zh-CN"/>
              </w:rPr>
            </w:pPr>
            <w:r>
              <w:rPr>
                <w:rFonts w:hint="eastAsia"/>
                <w:color w:val="auto"/>
                <w:lang w:val="en-US" w:eastAsia="zh-CN"/>
              </w:rPr>
              <w:t>根据《建设项目环境影响报告表编制技术指南》（污染影响类）（试行）要求，原则上不开展环境质量现状调查。根据项目的产污特点，厂区地面硬化，危险废物贮存间做好四防措施，不存在明显的污染途径，故不展开现状调查。</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b/>
                <w:bCs/>
                <w:color w:val="auto"/>
                <w:lang w:val="en-US" w:eastAsia="zh-CN"/>
              </w:rPr>
            </w:pPr>
            <w:r>
              <w:rPr>
                <w:rFonts w:hint="eastAsia"/>
                <w:b/>
                <w:bCs/>
                <w:color w:val="auto"/>
                <w:lang w:val="en-US" w:eastAsia="zh-CN"/>
              </w:rPr>
              <w:t>7</w:t>
            </w:r>
            <w:r>
              <w:rPr>
                <w:rFonts w:hint="eastAsia" w:ascii="Times New Roman" w:hAnsi="Times New Roman"/>
                <w:b/>
                <w:bCs/>
                <w:color w:val="auto"/>
                <w:lang w:val="en-US" w:eastAsia="zh-CN"/>
              </w:rPr>
              <w:t>、土壤环境</w:t>
            </w:r>
          </w:p>
          <w:p>
            <w:pPr>
              <w:keepNext w:val="0"/>
              <w:keepLines w:val="0"/>
              <w:pageBreakBefore w:val="0"/>
              <w:widowControl w:val="0"/>
              <w:kinsoku/>
              <w:wordWrap/>
              <w:overflowPunct/>
              <w:topLinePunct w:val="0"/>
              <w:bidi w:val="0"/>
              <w:adjustRightInd/>
              <w:snapToGrid/>
              <w:spacing w:line="500" w:lineRule="exact"/>
              <w:ind w:firstLine="480" w:firstLineChars="200"/>
              <w:jc w:val="left"/>
              <w:textAlignment w:val="auto"/>
            </w:pPr>
            <w:r>
              <w:rPr>
                <w:rFonts w:hint="eastAsia"/>
                <w:color w:val="auto"/>
                <w:lang w:val="en-US" w:eastAsia="zh-CN"/>
              </w:rPr>
              <w:t>根据《建设项目环境影响报告表编制技术指南》（污染影响类）（试行）要求，原则上不开展环境质量现状调查。根据项目的产污特点，厂区地面硬化，危险废物贮存间做好四防措施。不存在明显的污染途径，故不展开现状调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95" w:hRule="atLeast"/>
        </w:trPr>
        <w:tc>
          <w:tcPr>
            <w:tcW w:w="799" w:type="dxa"/>
            <w:tcBorders>
              <w:top w:val="single" w:color="000000" w:sz="4" w:space="0"/>
              <w:bottom w:val="single" w:color="000000" w:sz="4" w:space="0"/>
              <w:right w:val="single" w:color="000000" w:sz="4" w:space="0"/>
            </w:tcBorders>
            <w:vAlign w:val="center"/>
          </w:tcPr>
          <w:p>
            <w:pPr>
              <w:pStyle w:val="23"/>
              <w:spacing w:line="242" w:lineRule="auto"/>
            </w:pPr>
            <w:r>
              <w:t>环</w:t>
            </w:r>
          </w:p>
          <w:p>
            <w:pPr>
              <w:pStyle w:val="23"/>
              <w:spacing w:line="242" w:lineRule="auto"/>
            </w:pPr>
            <w:r>
              <w:t>境</w:t>
            </w:r>
          </w:p>
          <w:p>
            <w:pPr>
              <w:pStyle w:val="23"/>
              <w:spacing w:line="242" w:lineRule="auto"/>
            </w:pPr>
            <w:r>
              <w:t>保</w:t>
            </w:r>
          </w:p>
          <w:p>
            <w:pPr>
              <w:pStyle w:val="23"/>
              <w:spacing w:line="242" w:lineRule="auto"/>
            </w:pPr>
            <w:r>
              <w:t>护</w:t>
            </w:r>
          </w:p>
          <w:p>
            <w:pPr>
              <w:pStyle w:val="23"/>
              <w:spacing w:line="242" w:lineRule="auto"/>
            </w:pPr>
            <w:r>
              <w:t>目</w:t>
            </w:r>
          </w:p>
          <w:p>
            <w:pPr>
              <w:pStyle w:val="23"/>
              <w:spacing w:line="242" w:lineRule="auto"/>
            </w:pPr>
            <w:r>
              <w:t>标</w:t>
            </w:r>
          </w:p>
        </w:tc>
        <w:tc>
          <w:tcPr>
            <w:tcW w:w="8190" w:type="dxa"/>
            <w:tcBorders>
              <w:top w:val="single" w:color="000000" w:sz="4" w:space="0"/>
              <w:left w:val="single" w:color="000000" w:sz="4" w:space="0"/>
              <w:bottom w:val="single" w:color="000000" w:sz="4" w:space="0"/>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line="500" w:lineRule="exact"/>
              <w:ind w:left="0" w:leftChars="0" w:firstLine="480" w:firstLineChars="200"/>
              <w:jc w:val="left"/>
              <w:textAlignment w:val="auto"/>
              <w:rPr>
                <w:color w:val="FF0000"/>
              </w:rPr>
            </w:pPr>
            <w:r>
              <w:rPr>
                <w:rFonts w:hint="eastAsia"/>
              </w:rPr>
              <w:t>通过现场调查了解，本项目厂界</w:t>
            </w:r>
            <w:r>
              <w:rPr>
                <w:rFonts w:hint="eastAsia"/>
                <w:color w:val="000000" w:themeColor="text1"/>
                <w14:textFill>
                  <w14:solidFill>
                    <w14:schemeClr w14:val="tx1"/>
                  </w14:solidFill>
                </w14:textFill>
              </w:rPr>
              <w:t>外5</w:t>
            </w:r>
            <w:r>
              <w:rPr>
                <w:color w:val="000000" w:themeColor="text1"/>
                <w14:textFill>
                  <w14:solidFill>
                    <w14:schemeClr w14:val="tx1"/>
                  </w14:solidFill>
                </w14:textFill>
              </w:rPr>
              <w:t>00m范围内</w:t>
            </w:r>
            <w:r>
              <w:rPr>
                <w:rFonts w:hint="eastAsia"/>
                <w:color w:val="000000" w:themeColor="text1"/>
                <w14:textFill>
                  <w14:solidFill>
                    <w14:schemeClr w14:val="tx1"/>
                  </w14:solidFill>
                </w14:textFill>
              </w:rPr>
              <w:t>无自然保护区、风景名胜区等，主要环境空气保护目标为居民区。本项目厂界外</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m范围内无声环境敏感保护目标，5</w:t>
            </w:r>
            <w:r>
              <w:rPr>
                <w:color w:val="000000" w:themeColor="text1"/>
                <w14:textFill>
                  <w14:solidFill>
                    <w14:schemeClr w14:val="tx1"/>
                  </w14:solidFill>
                </w14:textFill>
              </w:rPr>
              <w:t>00m范围内无地下水环境保</w:t>
            </w:r>
            <w:r>
              <w:t>护目标</w:t>
            </w:r>
            <w:r>
              <w:rPr>
                <w:rFonts w:hint="eastAsia"/>
              </w:rPr>
              <w:t>。环保目标如下表所示，其分布示意图见</w:t>
            </w:r>
            <w:r>
              <w:rPr>
                <w:rFonts w:hint="eastAsia"/>
                <w:color w:val="000000" w:themeColor="text1"/>
                <w14:textFill>
                  <w14:solidFill>
                    <w14:schemeClr w14:val="tx1"/>
                  </w14:solidFill>
                </w14:textFill>
              </w:rPr>
              <w:t>附图</w:t>
            </w:r>
            <w:r>
              <w:rPr>
                <w:rFonts w:hint="eastAsia"/>
                <w:lang w:val="en-US" w:eastAsia="zh-CN"/>
              </w:rPr>
              <w:t>4</w:t>
            </w:r>
            <w:r>
              <w:rPr>
                <w:rFonts w:hint="eastAsia"/>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环境保护目标如下表所示，保护目标分布示意图见</w:t>
            </w:r>
            <w:r>
              <w:rPr>
                <w:rFonts w:hint="eastAsia"/>
                <w:color w:val="000000" w:themeColor="text1"/>
                <w14:textFill>
                  <w14:solidFill>
                    <w14:schemeClr w14:val="tx1"/>
                  </w14:solidFill>
                </w14:textFill>
              </w:rPr>
              <w:t>附图</w:t>
            </w:r>
            <w:r>
              <w:rPr>
                <w:rFonts w:hint="eastAsia"/>
                <w:lang w:val="en-US" w:eastAsia="zh-CN"/>
              </w:rPr>
              <w:t>4</w:t>
            </w:r>
            <w:r>
              <w:rPr>
                <w:rFonts w:hint="eastAsia"/>
              </w:rPr>
              <w:t>。</w:t>
            </w:r>
          </w:p>
          <w:p>
            <w:pPr>
              <w:autoSpaceDE/>
              <w:autoSpaceDN/>
              <w:spacing w:line="240" w:lineRule="auto"/>
              <w:rPr>
                <w:rFonts w:cs="Times New Roman"/>
                <w:b/>
                <w:color w:val="auto"/>
                <w:sz w:val="21"/>
                <w:szCs w:val="21"/>
              </w:rPr>
            </w:pPr>
            <w:r>
              <w:rPr>
                <w:rFonts w:cs="Times New Roman"/>
                <w:b/>
                <w:color w:val="auto"/>
                <w:sz w:val="21"/>
                <w:szCs w:val="21"/>
              </w:rPr>
              <w:t>表</w:t>
            </w:r>
            <w:r>
              <w:rPr>
                <w:rFonts w:hint="eastAsia" w:cs="Times New Roman"/>
                <w:b/>
                <w:color w:val="auto"/>
                <w:sz w:val="21"/>
                <w:szCs w:val="21"/>
                <w:lang w:val="en-US"/>
              </w:rPr>
              <w:t>3-</w:t>
            </w:r>
            <w:r>
              <w:rPr>
                <w:rFonts w:hint="eastAsia" w:cs="Times New Roman"/>
                <w:b/>
                <w:color w:val="auto"/>
                <w:sz w:val="21"/>
                <w:szCs w:val="21"/>
                <w:lang w:val="en-US" w:eastAsia="zh-CN"/>
              </w:rPr>
              <w:t>4</w:t>
            </w:r>
            <w:r>
              <w:rPr>
                <w:rFonts w:cs="Times New Roman"/>
                <w:b/>
                <w:color w:val="auto"/>
                <w:sz w:val="21"/>
                <w:szCs w:val="21"/>
              </w:rPr>
              <w:t>环境保护目标</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541"/>
              <w:gridCol w:w="2002"/>
              <w:gridCol w:w="1182"/>
              <w:gridCol w:w="1006"/>
              <w:gridCol w:w="981"/>
              <w:gridCol w:w="704"/>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722" w:type="dxa"/>
                  <w:vAlign w:val="center"/>
                </w:tcPr>
                <w:p>
                  <w:pPr>
                    <w:autoSpaceDE/>
                    <w:autoSpaceDN/>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w:t>
                  </w:r>
                </w:p>
              </w:tc>
              <w:tc>
                <w:tcPr>
                  <w:tcW w:w="2543" w:type="dxa"/>
                  <w:gridSpan w:val="2"/>
                  <w:vAlign w:val="center"/>
                </w:tcPr>
                <w:p>
                  <w:pPr>
                    <w:autoSpaceDE/>
                    <w:autoSpaceDN/>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坐标</w:t>
                  </w:r>
                </w:p>
              </w:tc>
              <w:tc>
                <w:tcPr>
                  <w:tcW w:w="1182" w:type="dxa"/>
                  <w:vAlign w:val="center"/>
                </w:tcPr>
                <w:p>
                  <w:pPr>
                    <w:autoSpaceDE/>
                    <w:autoSpaceDN/>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保护对象</w:t>
                  </w:r>
                </w:p>
              </w:tc>
              <w:tc>
                <w:tcPr>
                  <w:tcW w:w="1006" w:type="dxa"/>
                  <w:vAlign w:val="center"/>
                </w:tcPr>
                <w:p>
                  <w:pPr>
                    <w:autoSpaceDE/>
                    <w:autoSpaceDN/>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相对厂址</w:t>
                  </w:r>
                </w:p>
                <w:p>
                  <w:pPr>
                    <w:autoSpaceDE/>
                    <w:autoSpaceDN/>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方位</w:t>
                  </w:r>
                </w:p>
              </w:tc>
              <w:tc>
                <w:tcPr>
                  <w:tcW w:w="981" w:type="dxa"/>
                  <w:vAlign w:val="center"/>
                </w:tcPr>
                <w:p>
                  <w:pPr>
                    <w:autoSpaceDE/>
                    <w:autoSpaceDN/>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相对厂址距离/m</w:t>
                  </w:r>
                </w:p>
              </w:tc>
              <w:tc>
                <w:tcPr>
                  <w:tcW w:w="704" w:type="dxa"/>
                  <w:vAlign w:val="center"/>
                </w:tcPr>
                <w:p>
                  <w:pPr>
                    <w:autoSpaceDE/>
                    <w:autoSpaceDN/>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功能区</w:t>
                  </w:r>
                </w:p>
              </w:tc>
              <w:tc>
                <w:tcPr>
                  <w:tcW w:w="919" w:type="dxa"/>
                  <w:vAlign w:val="center"/>
                </w:tcPr>
                <w:p>
                  <w:pPr>
                    <w:autoSpaceDE/>
                    <w:autoSpaceDN/>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22" w:type="dxa"/>
                  <w:vMerge w:val="restart"/>
                  <w:vAlign w:val="center"/>
                </w:tcPr>
                <w:p>
                  <w:pPr>
                    <w:autoSpaceDE/>
                    <w:autoSpaceDN/>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541" w:type="dxa"/>
                  <w:vAlign w:val="center"/>
                </w:tcPr>
                <w:p>
                  <w:pPr>
                    <w:autoSpaceDE/>
                    <w:autoSpaceDN/>
                    <w:spacing w:line="240" w:lineRule="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X</w:t>
                  </w:r>
                </w:p>
              </w:tc>
              <w:tc>
                <w:tcPr>
                  <w:tcW w:w="2002" w:type="dxa"/>
                  <w:vAlign w:val="center"/>
                </w:tcPr>
                <w:p>
                  <w:pPr>
                    <w:autoSpaceDE/>
                    <w:autoSpaceDN/>
                    <w:spacing w:line="240" w:lineRule="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117°</w:t>
                  </w:r>
                  <w:r>
                    <w:rPr>
                      <w:rFonts w:hint="eastAsia" w:cs="Times New Roman"/>
                      <w:color w:val="auto"/>
                      <w:sz w:val="21"/>
                      <w:szCs w:val="21"/>
                      <w:lang w:val="en-US" w:eastAsia="zh-CN"/>
                    </w:rPr>
                    <w:t>40</w:t>
                  </w:r>
                  <w:r>
                    <w:rPr>
                      <w:rFonts w:hint="default" w:ascii="Times New Roman" w:hAnsi="Times New Roman" w:eastAsia="宋体" w:cs="Times New Roman"/>
                      <w:color w:val="auto"/>
                      <w:sz w:val="21"/>
                      <w:szCs w:val="21"/>
                      <w:lang w:val="en-US"/>
                    </w:rPr>
                    <w:t>′</w:t>
                  </w:r>
                  <w:r>
                    <w:rPr>
                      <w:rFonts w:hint="eastAsia" w:cs="Times New Roman"/>
                      <w:color w:val="auto"/>
                      <w:sz w:val="21"/>
                      <w:szCs w:val="21"/>
                      <w:lang w:val="en-US" w:eastAsia="zh-CN"/>
                    </w:rPr>
                    <w:t>16.95</w:t>
                  </w:r>
                  <w:r>
                    <w:rPr>
                      <w:rFonts w:hint="default" w:ascii="Times New Roman" w:hAnsi="Times New Roman" w:eastAsia="宋体" w:cs="Times New Roman"/>
                      <w:color w:val="auto"/>
                      <w:sz w:val="21"/>
                      <w:szCs w:val="21"/>
                      <w:lang w:val="en-US"/>
                    </w:rPr>
                    <w:t>″</w:t>
                  </w:r>
                </w:p>
              </w:tc>
              <w:tc>
                <w:tcPr>
                  <w:tcW w:w="1182" w:type="dxa"/>
                  <w:vMerge w:val="restart"/>
                  <w:vAlign w:val="center"/>
                </w:tcPr>
                <w:p>
                  <w:pPr>
                    <w:widowControl/>
                    <w:autoSpaceDE/>
                    <w:autoSpaceDN/>
                    <w:spacing w:line="240" w:lineRule="auto"/>
                    <w:textAlignment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北营房镇</w:t>
                  </w:r>
                </w:p>
              </w:tc>
              <w:tc>
                <w:tcPr>
                  <w:tcW w:w="1006" w:type="dxa"/>
                  <w:vMerge w:val="restart"/>
                  <w:vAlign w:val="center"/>
                </w:tcPr>
                <w:p>
                  <w:pPr>
                    <w:widowControl/>
                    <w:autoSpaceDE/>
                    <w:autoSpaceDN/>
                    <w:spacing w:line="240" w:lineRule="auto"/>
                    <w:textAlignment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西南</w:t>
                  </w:r>
                </w:p>
              </w:tc>
              <w:tc>
                <w:tcPr>
                  <w:tcW w:w="981" w:type="dxa"/>
                  <w:vMerge w:val="restart"/>
                  <w:vAlign w:val="center"/>
                </w:tcPr>
                <w:p>
                  <w:pPr>
                    <w:widowControl/>
                    <w:autoSpaceDE/>
                    <w:autoSpaceDN/>
                    <w:spacing w:line="240" w:lineRule="auto"/>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bidi="ar"/>
                    </w:rPr>
                    <w:t>275</w:t>
                  </w:r>
                </w:p>
              </w:tc>
              <w:tc>
                <w:tcPr>
                  <w:tcW w:w="704" w:type="dxa"/>
                  <w:vMerge w:val="restart"/>
                  <w:vAlign w:val="center"/>
                </w:tcPr>
                <w:p>
                  <w:pPr>
                    <w:widowControl/>
                    <w:autoSpaceDE/>
                    <w:autoSpaceDN/>
                    <w:spacing w:line="240" w:lineRule="auto"/>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w:t>
                  </w:r>
                  <w:r>
                    <w:rPr>
                      <w:rFonts w:hint="eastAsia" w:cs="Times New Roman"/>
                      <w:color w:val="auto"/>
                      <w:sz w:val="21"/>
                      <w:szCs w:val="21"/>
                      <w:lang w:eastAsia="zh-CN"/>
                    </w:rPr>
                    <w:t>住</w:t>
                  </w:r>
                </w:p>
              </w:tc>
              <w:tc>
                <w:tcPr>
                  <w:tcW w:w="919" w:type="dxa"/>
                  <w:vMerge w:val="restart"/>
                  <w:vAlign w:val="center"/>
                </w:tcPr>
                <w:p>
                  <w:pPr>
                    <w:widowControl/>
                    <w:autoSpaceDE/>
                    <w:autoSpaceDN/>
                    <w:spacing w:line="240" w:lineRule="auto"/>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环境空气二类区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22" w:type="dxa"/>
                  <w:vMerge w:val="continue"/>
                  <w:vAlign w:val="center"/>
                </w:tcPr>
                <w:p>
                  <w:pPr>
                    <w:autoSpaceDE/>
                    <w:autoSpaceDN/>
                    <w:spacing w:line="240" w:lineRule="auto"/>
                    <w:rPr>
                      <w:rFonts w:hint="default" w:ascii="Times New Roman" w:hAnsi="Times New Roman" w:eastAsia="宋体" w:cs="Times New Roman"/>
                      <w:color w:val="auto"/>
                      <w:sz w:val="21"/>
                      <w:szCs w:val="21"/>
                    </w:rPr>
                  </w:pPr>
                </w:p>
              </w:tc>
              <w:tc>
                <w:tcPr>
                  <w:tcW w:w="541" w:type="dxa"/>
                  <w:vAlign w:val="center"/>
                </w:tcPr>
                <w:p>
                  <w:pPr>
                    <w:autoSpaceDE/>
                    <w:autoSpaceDN/>
                    <w:spacing w:line="240" w:lineRule="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Y</w:t>
                  </w:r>
                </w:p>
              </w:tc>
              <w:tc>
                <w:tcPr>
                  <w:tcW w:w="2002" w:type="dxa"/>
                  <w:vAlign w:val="center"/>
                </w:tcPr>
                <w:p>
                  <w:pPr>
                    <w:autoSpaceDE/>
                    <w:autoSpaceDN/>
                    <w:spacing w:line="240" w:lineRule="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40°</w:t>
                  </w:r>
                  <w:r>
                    <w:rPr>
                      <w:rFonts w:hint="eastAsia" w:cs="Times New Roman"/>
                      <w:color w:val="auto"/>
                      <w:sz w:val="21"/>
                      <w:szCs w:val="21"/>
                      <w:lang w:val="en-US" w:eastAsia="zh-CN"/>
                    </w:rPr>
                    <w:t>34</w:t>
                  </w:r>
                  <w:r>
                    <w:rPr>
                      <w:rFonts w:hint="default" w:ascii="Times New Roman" w:hAnsi="Times New Roman" w:eastAsia="宋体" w:cs="Times New Roman"/>
                      <w:color w:val="auto"/>
                      <w:sz w:val="21"/>
                      <w:szCs w:val="21"/>
                      <w:lang w:val="en-US"/>
                    </w:rPr>
                    <w:t>′</w:t>
                  </w:r>
                  <w:r>
                    <w:rPr>
                      <w:rFonts w:hint="eastAsia" w:cs="Times New Roman"/>
                      <w:color w:val="auto"/>
                      <w:sz w:val="21"/>
                      <w:szCs w:val="21"/>
                      <w:lang w:val="en-US" w:eastAsia="zh-CN"/>
                    </w:rPr>
                    <w:t>24.45</w:t>
                  </w:r>
                  <w:r>
                    <w:rPr>
                      <w:rFonts w:hint="default" w:ascii="Times New Roman" w:hAnsi="Times New Roman" w:eastAsia="宋体" w:cs="Times New Roman"/>
                      <w:color w:val="auto"/>
                      <w:sz w:val="21"/>
                      <w:szCs w:val="21"/>
                      <w:lang w:val="en-US"/>
                    </w:rPr>
                    <w:t>″</w:t>
                  </w:r>
                </w:p>
              </w:tc>
              <w:tc>
                <w:tcPr>
                  <w:tcW w:w="1182" w:type="dxa"/>
                  <w:vMerge w:val="continue"/>
                  <w:vAlign w:val="center"/>
                </w:tcPr>
                <w:p>
                  <w:pPr>
                    <w:widowControl/>
                    <w:autoSpaceDE/>
                    <w:autoSpaceDN/>
                    <w:spacing w:line="240" w:lineRule="auto"/>
                    <w:textAlignment w:val="center"/>
                    <w:rPr>
                      <w:rFonts w:hint="default" w:ascii="Times New Roman" w:hAnsi="Times New Roman" w:eastAsia="宋体" w:cs="Times New Roman"/>
                      <w:color w:val="auto"/>
                      <w:sz w:val="21"/>
                      <w:szCs w:val="21"/>
                      <w:lang w:val="en-US" w:bidi="ar"/>
                    </w:rPr>
                  </w:pPr>
                </w:p>
              </w:tc>
              <w:tc>
                <w:tcPr>
                  <w:tcW w:w="1006" w:type="dxa"/>
                  <w:vMerge w:val="continue"/>
                  <w:vAlign w:val="center"/>
                </w:tcPr>
                <w:p>
                  <w:pPr>
                    <w:autoSpaceDE/>
                    <w:autoSpaceDN/>
                    <w:spacing w:line="240" w:lineRule="auto"/>
                    <w:rPr>
                      <w:rFonts w:hint="default" w:ascii="Times New Roman" w:hAnsi="Times New Roman" w:eastAsia="宋体" w:cs="Times New Roman"/>
                      <w:color w:val="auto"/>
                      <w:sz w:val="21"/>
                      <w:szCs w:val="21"/>
                    </w:rPr>
                  </w:pPr>
                </w:p>
              </w:tc>
              <w:tc>
                <w:tcPr>
                  <w:tcW w:w="981" w:type="dxa"/>
                  <w:vMerge w:val="continue"/>
                  <w:vAlign w:val="center"/>
                </w:tcPr>
                <w:p>
                  <w:pPr>
                    <w:autoSpaceDE/>
                    <w:autoSpaceDN/>
                    <w:spacing w:line="240" w:lineRule="auto"/>
                    <w:rPr>
                      <w:rFonts w:hint="default" w:ascii="Times New Roman" w:hAnsi="Times New Roman" w:eastAsia="宋体" w:cs="Times New Roman"/>
                      <w:color w:val="auto"/>
                      <w:sz w:val="21"/>
                      <w:szCs w:val="21"/>
                    </w:rPr>
                  </w:pPr>
                </w:p>
              </w:tc>
              <w:tc>
                <w:tcPr>
                  <w:tcW w:w="704" w:type="dxa"/>
                  <w:vMerge w:val="continue"/>
                  <w:vAlign w:val="center"/>
                </w:tcPr>
                <w:p>
                  <w:pPr>
                    <w:widowControl/>
                    <w:autoSpaceDE/>
                    <w:autoSpaceDN/>
                    <w:spacing w:line="240" w:lineRule="auto"/>
                    <w:textAlignment w:val="center"/>
                    <w:rPr>
                      <w:rFonts w:hint="default" w:ascii="Times New Roman" w:hAnsi="Times New Roman" w:eastAsia="宋体" w:cs="Times New Roman"/>
                      <w:color w:val="auto"/>
                      <w:sz w:val="21"/>
                      <w:szCs w:val="21"/>
                      <w:lang w:val="en-US" w:bidi="ar"/>
                    </w:rPr>
                  </w:pPr>
                </w:p>
              </w:tc>
              <w:tc>
                <w:tcPr>
                  <w:tcW w:w="919" w:type="dxa"/>
                  <w:vMerge w:val="continue"/>
                  <w:vAlign w:val="center"/>
                </w:tcPr>
                <w:p>
                  <w:pPr>
                    <w:widowControl/>
                    <w:autoSpaceDE/>
                    <w:autoSpaceDN/>
                    <w:spacing w:line="240" w:lineRule="auto"/>
                    <w:textAlignment w:val="center"/>
                    <w:rPr>
                      <w:rFonts w:hint="default" w:ascii="Times New Roman" w:hAnsi="Times New Roman" w:eastAsia="宋体" w:cs="Times New Roman"/>
                      <w:color w:val="auto"/>
                      <w:sz w:val="21"/>
                      <w:szCs w:val="21"/>
                      <w:lang w:val="en-US"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22" w:type="dxa"/>
                  <w:vMerge w:val="continue"/>
                  <w:vAlign w:val="center"/>
                </w:tcPr>
                <w:p>
                  <w:pPr>
                    <w:autoSpaceDE/>
                    <w:autoSpaceDN/>
                    <w:spacing w:line="240" w:lineRule="auto"/>
                    <w:rPr>
                      <w:rFonts w:hint="default" w:ascii="Times New Roman" w:hAnsi="Times New Roman" w:eastAsia="宋体" w:cs="Times New Roman"/>
                      <w:color w:val="auto"/>
                      <w:sz w:val="21"/>
                      <w:szCs w:val="21"/>
                    </w:rPr>
                  </w:pPr>
                </w:p>
              </w:tc>
              <w:tc>
                <w:tcPr>
                  <w:tcW w:w="541" w:type="dxa"/>
                  <w:vAlign w:val="center"/>
                </w:tcPr>
                <w:p>
                  <w:pPr>
                    <w:autoSpaceDE/>
                    <w:autoSpaceDN/>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X</w:t>
                  </w:r>
                </w:p>
              </w:tc>
              <w:tc>
                <w:tcPr>
                  <w:tcW w:w="2002" w:type="dxa"/>
                  <w:vAlign w:val="center"/>
                </w:tcPr>
                <w:p>
                  <w:pPr>
                    <w:autoSpaceDE/>
                    <w:autoSpaceDN/>
                    <w:spacing w:line="240" w:lineRule="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117°</w:t>
                  </w:r>
                  <w:r>
                    <w:rPr>
                      <w:rFonts w:hint="eastAsia" w:cs="Times New Roman"/>
                      <w:color w:val="auto"/>
                      <w:sz w:val="21"/>
                      <w:szCs w:val="21"/>
                      <w:lang w:val="en-US" w:eastAsia="zh-CN"/>
                    </w:rPr>
                    <w:t>40</w:t>
                  </w:r>
                  <w:r>
                    <w:rPr>
                      <w:rFonts w:hint="default" w:ascii="Times New Roman" w:hAnsi="Times New Roman" w:eastAsia="宋体" w:cs="Times New Roman"/>
                      <w:color w:val="auto"/>
                      <w:sz w:val="21"/>
                      <w:szCs w:val="21"/>
                      <w:lang w:val="en-US"/>
                    </w:rPr>
                    <w:t>′</w:t>
                  </w:r>
                  <w:r>
                    <w:rPr>
                      <w:rFonts w:hint="eastAsia" w:cs="Times New Roman"/>
                      <w:color w:val="auto"/>
                      <w:sz w:val="21"/>
                      <w:szCs w:val="21"/>
                      <w:lang w:val="en-US" w:eastAsia="zh-CN"/>
                    </w:rPr>
                    <w:t>46.54</w:t>
                  </w:r>
                  <w:r>
                    <w:rPr>
                      <w:rFonts w:hint="default" w:ascii="Times New Roman" w:hAnsi="Times New Roman" w:eastAsia="宋体" w:cs="Times New Roman"/>
                      <w:color w:val="auto"/>
                      <w:sz w:val="21"/>
                      <w:szCs w:val="21"/>
                      <w:lang w:val="en-US"/>
                    </w:rPr>
                    <w:t>″</w:t>
                  </w:r>
                </w:p>
              </w:tc>
              <w:tc>
                <w:tcPr>
                  <w:tcW w:w="1182" w:type="dxa"/>
                  <w:vMerge w:val="restart"/>
                  <w:vAlign w:val="center"/>
                </w:tcPr>
                <w:p>
                  <w:pPr>
                    <w:widowControl/>
                    <w:autoSpaceDE/>
                    <w:autoSpaceDN/>
                    <w:spacing w:line="240" w:lineRule="auto"/>
                    <w:textAlignment w:val="center"/>
                    <w:rPr>
                      <w:rFonts w:hint="default" w:ascii="Times New Roman" w:hAnsi="Times New Roman" w:eastAsia="宋体" w:cs="Times New Roman"/>
                      <w:color w:val="auto"/>
                      <w:sz w:val="21"/>
                      <w:szCs w:val="21"/>
                      <w:lang w:val="en-US" w:bidi="ar"/>
                    </w:rPr>
                  </w:pPr>
                  <w:r>
                    <w:rPr>
                      <w:rFonts w:hint="eastAsia" w:cs="Times New Roman"/>
                      <w:color w:val="auto"/>
                      <w:sz w:val="21"/>
                      <w:szCs w:val="21"/>
                      <w:lang w:eastAsia="zh-CN"/>
                    </w:rPr>
                    <w:t>北沟村</w:t>
                  </w:r>
                </w:p>
              </w:tc>
              <w:tc>
                <w:tcPr>
                  <w:tcW w:w="1006" w:type="dxa"/>
                  <w:vMerge w:val="restart"/>
                  <w:vAlign w:val="center"/>
                </w:tcPr>
                <w:p>
                  <w:pPr>
                    <w:autoSpaceDE/>
                    <w:autoSpaceDN/>
                    <w:spacing w:line="240" w:lineRule="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东北</w:t>
                  </w:r>
                </w:p>
              </w:tc>
              <w:tc>
                <w:tcPr>
                  <w:tcW w:w="981" w:type="dxa"/>
                  <w:vMerge w:val="restart"/>
                  <w:vAlign w:val="center"/>
                </w:tcPr>
                <w:p>
                  <w:pPr>
                    <w:autoSpaceDE/>
                    <w:autoSpaceDN/>
                    <w:spacing w:line="240" w:lineRule="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432</w:t>
                  </w:r>
                </w:p>
              </w:tc>
              <w:tc>
                <w:tcPr>
                  <w:tcW w:w="704" w:type="dxa"/>
                  <w:vMerge w:val="restart"/>
                  <w:vAlign w:val="center"/>
                </w:tcPr>
                <w:p>
                  <w:pPr>
                    <w:widowControl/>
                    <w:autoSpaceDE/>
                    <w:autoSpaceDN/>
                    <w:spacing w:line="240" w:lineRule="auto"/>
                    <w:textAlignment w:val="center"/>
                    <w:rPr>
                      <w:rFonts w:hint="default" w:ascii="Times New Roman" w:hAnsi="Times New Roman" w:eastAsia="宋体" w:cs="Times New Roman"/>
                      <w:color w:val="auto"/>
                      <w:sz w:val="21"/>
                      <w:szCs w:val="21"/>
                      <w:lang w:val="en-US" w:bidi="ar"/>
                    </w:rPr>
                  </w:pPr>
                  <w:r>
                    <w:rPr>
                      <w:rFonts w:hint="default" w:ascii="Times New Roman" w:hAnsi="Times New Roman" w:eastAsia="宋体" w:cs="Times New Roman"/>
                      <w:color w:val="auto"/>
                      <w:sz w:val="21"/>
                      <w:szCs w:val="21"/>
                    </w:rPr>
                    <w:t>居</w:t>
                  </w:r>
                  <w:r>
                    <w:rPr>
                      <w:rFonts w:hint="eastAsia" w:cs="Times New Roman"/>
                      <w:color w:val="auto"/>
                      <w:sz w:val="21"/>
                      <w:szCs w:val="21"/>
                      <w:lang w:eastAsia="zh-CN"/>
                    </w:rPr>
                    <w:t>住</w:t>
                  </w:r>
                </w:p>
              </w:tc>
              <w:tc>
                <w:tcPr>
                  <w:tcW w:w="919" w:type="dxa"/>
                  <w:vMerge w:val="continue"/>
                  <w:vAlign w:val="center"/>
                </w:tcPr>
                <w:p>
                  <w:pPr>
                    <w:widowControl/>
                    <w:autoSpaceDE/>
                    <w:autoSpaceDN/>
                    <w:spacing w:line="240" w:lineRule="auto"/>
                    <w:textAlignment w:val="center"/>
                    <w:rPr>
                      <w:rFonts w:hint="default" w:ascii="Times New Roman" w:hAnsi="Times New Roman" w:eastAsia="宋体" w:cs="Times New Roman"/>
                      <w:color w:val="auto"/>
                      <w:sz w:val="21"/>
                      <w:szCs w:val="21"/>
                      <w:lang w:val="en-US"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22" w:type="dxa"/>
                  <w:vMerge w:val="continue"/>
                  <w:vAlign w:val="center"/>
                </w:tcPr>
                <w:p>
                  <w:pPr>
                    <w:autoSpaceDE/>
                    <w:autoSpaceDN/>
                    <w:spacing w:line="240" w:lineRule="auto"/>
                    <w:rPr>
                      <w:rFonts w:hint="default" w:ascii="Times New Roman" w:hAnsi="Times New Roman" w:eastAsia="宋体" w:cs="Times New Roman"/>
                      <w:color w:val="auto"/>
                      <w:sz w:val="21"/>
                      <w:szCs w:val="21"/>
                    </w:rPr>
                  </w:pPr>
                </w:p>
              </w:tc>
              <w:tc>
                <w:tcPr>
                  <w:tcW w:w="541" w:type="dxa"/>
                  <w:vAlign w:val="center"/>
                </w:tcPr>
                <w:p>
                  <w:pPr>
                    <w:autoSpaceDE/>
                    <w:autoSpaceDN/>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w:t>
                  </w:r>
                </w:p>
              </w:tc>
              <w:tc>
                <w:tcPr>
                  <w:tcW w:w="2002" w:type="dxa"/>
                  <w:vAlign w:val="center"/>
                </w:tcPr>
                <w:p>
                  <w:pPr>
                    <w:autoSpaceDE/>
                    <w:autoSpaceDN/>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r>
                    <w:rPr>
                      <w:rFonts w:hint="eastAsia" w:cs="Times New Roman"/>
                      <w:color w:val="auto"/>
                      <w:sz w:val="21"/>
                      <w:szCs w:val="21"/>
                      <w:lang w:val="en-US" w:eastAsia="zh-CN"/>
                    </w:rPr>
                    <w:t>34</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55.20</w:t>
                  </w:r>
                  <w:r>
                    <w:rPr>
                      <w:rFonts w:hint="default" w:ascii="Times New Roman" w:hAnsi="Times New Roman" w:eastAsia="宋体" w:cs="Times New Roman"/>
                      <w:color w:val="auto"/>
                      <w:sz w:val="21"/>
                      <w:szCs w:val="21"/>
                    </w:rPr>
                    <w:t>″</w:t>
                  </w:r>
                </w:p>
              </w:tc>
              <w:tc>
                <w:tcPr>
                  <w:tcW w:w="1182" w:type="dxa"/>
                  <w:vMerge w:val="continue"/>
                  <w:vAlign w:val="center"/>
                </w:tcPr>
                <w:p>
                  <w:pPr>
                    <w:autoSpaceDE/>
                    <w:autoSpaceDN/>
                    <w:spacing w:line="240" w:lineRule="auto"/>
                    <w:rPr>
                      <w:rFonts w:hint="default" w:ascii="Times New Roman" w:hAnsi="Times New Roman" w:eastAsia="宋体" w:cs="Times New Roman"/>
                      <w:color w:val="auto"/>
                      <w:sz w:val="21"/>
                      <w:szCs w:val="21"/>
                    </w:rPr>
                  </w:pPr>
                </w:p>
              </w:tc>
              <w:tc>
                <w:tcPr>
                  <w:tcW w:w="1006" w:type="dxa"/>
                  <w:vMerge w:val="continue"/>
                  <w:vAlign w:val="center"/>
                </w:tcPr>
                <w:p>
                  <w:pPr>
                    <w:autoSpaceDE/>
                    <w:autoSpaceDN/>
                    <w:spacing w:line="240" w:lineRule="auto"/>
                    <w:rPr>
                      <w:rFonts w:hint="default" w:ascii="Times New Roman" w:hAnsi="Times New Roman" w:eastAsia="宋体" w:cs="Times New Roman"/>
                      <w:color w:val="auto"/>
                      <w:sz w:val="21"/>
                      <w:szCs w:val="21"/>
                    </w:rPr>
                  </w:pPr>
                </w:p>
              </w:tc>
              <w:tc>
                <w:tcPr>
                  <w:tcW w:w="981" w:type="dxa"/>
                  <w:vMerge w:val="continue"/>
                  <w:vAlign w:val="center"/>
                </w:tcPr>
                <w:p>
                  <w:pPr>
                    <w:autoSpaceDE/>
                    <w:autoSpaceDN/>
                    <w:spacing w:line="240" w:lineRule="auto"/>
                    <w:rPr>
                      <w:rFonts w:hint="default" w:ascii="Times New Roman" w:hAnsi="Times New Roman" w:eastAsia="宋体" w:cs="Times New Roman"/>
                      <w:color w:val="auto"/>
                      <w:sz w:val="21"/>
                      <w:szCs w:val="21"/>
                    </w:rPr>
                  </w:pPr>
                </w:p>
              </w:tc>
              <w:tc>
                <w:tcPr>
                  <w:tcW w:w="704" w:type="dxa"/>
                  <w:vMerge w:val="continue"/>
                  <w:vAlign w:val="center"/>
                </w:tcPr>
                <w:p>
                  <w:pPr>
                    <w:autoSpaceDE/>
                    <w:autoSpaceDN/>
                    <w:spacing w:line="240" w:lineRule="auto"/>
                    <w:rPr>
                      <w:rFonts w:hint="default" w:ascii="Times New Roman" w:hAnsi="Times New Roman" w:eastAsia="宋体" w:cs="Times New Roman"/>
                      <w:color w:val="auto"/>
                      <w:sz w:val="21"/>
                      <w:szCs w:val="21"/>
                    </w:rPr>
                  </w:pPr>
                </w:p>
              </w:tc>
              <w:tc>
                <w:tcPr>
                  <w:tcW w:w="919" w:type="dxa"/>
                  <w:vMerge w:val="continue"/>
                  <w:vAlign w:val="center"/>
                </w:tcPr>
                <w:p>
                  <w:pPr>
                    <w:autoSpaceDE/>
                    <w:autoSpaceDN/>
                    <w:spacing w:line="240" w:lineRule="auto"/>
                    <w:rPr>
                      <w:rFonts w:hint="default" w:ascii="Times New Roman" w:hAnsi="Times New Roman" w:eastAsia="宋体" w:cs="Times New Roman"/>
                      <w:color w:val="auto"/>
                      <w:sz w:val="21"/>
                      <w:szCs w:val="21"/>
                    </w:rPr>
                  </w:pPr>
                </w:p>
              </w:tc>
            </w:tr>
          </w:tbl>
          <w:p>
            <w:pPr>
              <w:pStyle w:val="23"/>
              <w:jc w:val="both"/>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3" w:hRule="atLeast"/>
        </w:trPr>
        <w:tc>
          <w:tcPr>
            <w:tcW w:w="799" w:type="dxa"/>
            <w:tcBorders>
              <w:top w:val="single" w:color="000000" w:sz="4" w:space="0"/>
              <w:bottom w:val="single" w:color="000000" w:sz="4" w:space="0"/>
              <w:right w:val="single" w:color="000000" w:sz="4" w:space="0"/>
            </w:tcBorders>
            <w:vAlign w:val="center"/>
          </w:tcPr>
          <w:p>
            <w:pPr>
              <w:pStyle w:val="23"/>
              <w:spacing w:line="242" w:lineRule="auto"/>
            </w:pPr>
            <w:r>
              <w:t>污</w:t>
            </w:r>
          </w:p>
          <w:p>
            <w:pPr>
              <w:pStyle w:val="23"/>
              <w:spacing w:line="242" w:lineRule="auto"/>
            </w:pPr>
            <w:r>
              <w:t>染</w:t>
            </w:r>
          </w:p>
          <w:p>
            <w:pPr>
              <w:pStyle w:val="23"/>
              <w:spacing w:line="242" w:lineRule="auto"/>
            </w:pPr>
            <w:r>
              <w:t>物</w:t>
            </w:r>
          </w:p>
          <w:p>
            <w:pPr>
              <w:pStyle w:val="23"/>
              <w:spacing w:line="242" w:lineRule="auto"/>
            </w:pPr>
            <w:r>
              <w:t>排</w:t>
            </w:r>
          </w:p>
          <w:p>
            <w:pPr>
              <w:pStyle w:val="23"/>
              <w:spacing w:line="242" w:lineRule="auto"/>
            </w:pPr>
            <w:r>
              <w:t>放</w:t>
            </w:r>
          </w:p>
          <w:p>
            <w:pPr>
              <w:pStyle w:val="23"/>
              <w:spacing w:line="242" w:lineRule="auto"/>
            </w:pPr>
            <w:r>
              <w:t>控</w:t>
            </w:r>
          </w:p>
          <w:p>
            <w:pPr>
              <w:pStyle w:val="23"/>
              <w:spacing w:line="242" w:lineRule="auto"/>
            </w:pPr>
            <w:r>
              <w:t>制</w:t>
            </w:r>
          </w:p>
          <w:p>
            <w:pPr>
              <w:pStyle w:val="23"/>
              <w:spacing w:line="242" w:lineRule="auto"/>
            </w:pPr>
            <w:r>
              <w:t>标</w:t>
            </w:r>
          </w:p>
          <w:p>
            <w:pPr>
              <w:pStyle w:val="23"/>
              <w:spacing w:line="242" w:lineRule="auto"/>
            </w:pPr>
            <w:r>
              <w:t>准</w:t>
            </w:r>
          </w:p>
        </w:tc>
        <w:tc>
          <w:tcPr>
            <w:tcW w:w="8190"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rPr>
            </w:pPr>
            <w:r>
              <w:rPr>
                <w:rFonts w:hint="default"/>
                <w:lang w:val="en-US" w:eastAsia="zh-CN"/>
              </w:rPr>
              <w:t>1、</w:t>
            </w:r>
            <w:r>
              <w:rPr>
                <w:rFonts w:hint="default"/>
              </w:rPr>
              <w:t>施工期：</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lang w:val="en-US"/>
              </w:rPr>
            </w:pPr>
            <w:r>
              <w:rPr>
                <w:rFonts w:hint="eastAsia"/>
                <w:lang w:val="en-US" w:eastAsia="zh-CN"/>
              </w:rPr>
              <w:t>（1）</w:t>
            </w:r>
            <w:r>
              <w:rPr>
                <w:rFonts w:hint="default"/>
                <w:lang w:val="en-US"/>
              </w:rPr>
              <w:t>施工期大气污染物中颗粒物执行《施工场地扬尘排放标准》(DB13/2934-2019)表1扬尘排放浓度限值：监测点PM</w:t>
            </w:r>
            <w:r>
              <w:rPr>
                <w:rFonts w:hint="default"/>
                <w:vertAlign w:val="subscript"/>
                <w:lang w:val="en-US"/>
              </w:rPr>
              <w:t>10</w:t>
            </w:r>
            <w:r>
              <w:rPr>
                <w:rFonts w:hint="default"/>
                <w:lang w:val="en-US"/>
              </w:rPr>
              <w:t>小时平均浓度实测值与同时段所属县（市、区）PM</w:t>
            </w:r>
            <w:r>
              <w:rPr>
                <w:rFonts w:hint="default"/>
                <w:vertAlign w:val="subscript"/>
                <w:lang w:val="en-US"/>
              </w:rPr>
              <w:t>10</w:t>
            </w:r>
            <w:r>
              <w:rPr>
                <w:rFonts w:hint="default"/>
                <w:lang w:val="en-US"/>
              </w:rPr>
              <w:t>小时平均浓度的差值限值＜80μg/m</w:t>
            </w:r>
            <w:r>
              <w:rPr>
                <w:rFonts w:hint="default"/>
                <w:vertAlign w:val="superscript"/>
                <w:lang w:val="en-US"/>
              </w:rPr>
              <w:t>3</w:t>
            </w:r>
            <w:r>
              <w:rPr>
                <w:rFonts w:hint="default"/>
                <w:lang w:val="en-US"/>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rPr>
            </w:pPr>
            <w:r>
              <w:rPr>
                <w:rFonts w:hint="eastAsia"/>
                <w:lang w:eastAsia="zh-CN"/>
              </w:rPr>
              <w:t>（</w:t>
            </w:r>
            <w:r>
              <w:rPr>
                <w:rFonts w:hint="eastAsia"/>
                <w:lang w:val="en-US" w:eastAsia="zh-CN"/>
              </w:rPr>
              <w:t>2</w:t>
            </w:r>
            <w:r>
              <w:rPr>
                <w:rFonts w:hint="eastAsia"/>
                <w:lang w:eastAsia="zh-CN"/>
              </w:rPr>
              <w:t>）</w:t>
            </w:r>
            <w:r>
              <w:rPr>
                <w:rFonts w:hint="default"/>
              </w:rPr>
              <w:t>施工噪声执行《建筑施工场界环境噪声排放标准》（GB12523-2011）标准：昼夜</w:t>
            </w:r>
            <w:r>
              <w:rPr>
                <w:rFonts w:hint="default"/>
                <w:lang w:val="en-US"/>
              </w:rPr>
              <w:t>70</w:t>
            </w:r>
            <w:r>
              <w:rPr>
                <w:rFonts w:hint="default"/>
              </w:rPr>
              <w:t>dB（A）、夜间</w:t>
            </w:r>
            <w:r>
              <w:rPr>
                <w:rFonts w:hint="default"/>
                <w:lang w:val="en-US"/>
              </w:rPr>
              <w:t>55</w:t>
            </w:r>
            <w:r>
              <w:rPr>
                <w:rFonts w:hint="default"/>
              </w:rPr>
              <w:t>dB（A）。</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2、</w:t>
            </w:r>
            <w:r>
              <w:rPr>
                <w:rFonts w:hint="default" w:ascii="Times New Roman" w:hAnsi="Times New Roman" w:eastAsia="宋体" w:cs="Times New Roman"/>
              </w:rPr>
              <w:t>运营期：</w:t>
            </w:r>
          </w:p>
          <w:p>
            <w:pPr>
              <w:pStyle w:val="6"/>
              <w:keepNext w:val="0"/>
              <w:keepLines w:val="0"/>
              <w:pageBreakBefore w:val="0"/>
              <w:kinsoku/>
              <w:wordWrap/>
              <w:overflowPunct/>
              <w:topLinePunct w:val="0"/>
              <w:autoSpaceDE/>
              <w:autoSpaceDN/>
              <w:bidi w:val="0"/>
              <w:adjustRightInd/>
              <w:snapToGrid/>
              <w:spacing w:line="500" w:lineRule="exact"/>
              <w:ind w:firstLine="512"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《大气污染物综合排放标准》（GB16297-1996）表2中二级标准：颗粒物有组织排放浓度120mg/m</w:t>
            </w:r>
            <w:r>
              <w:rPr>
                <w:rFonts w:hint="default" w:ascii="Times New Roman" w:hAnsi="Times New Roman" w:eastAsia="宋体" w:cs="Times New Roman"/>
                <w:vertAlign w:val="superscript"/>
              </w:rPr>
              <w:t>3</w:t>
            </w:r>
            <w:r>
              <w:rPr>
                <w:rFonts w:hint="default" w:ascii="Times New Roman" w:hAnsi="Times New Roman" w:eastAsia="宋体" w:cs="Times New Roman"/>
              </w:rPr>
              <w:t>，排放速率</w:t>
            </w:r>
            <w:r>
              <w:rPr>
                <w:rFonts w:hint="default" w:ascii="Times New Roman" w:hAnsi="Times New Roman" w:eastAsia="宋体" w:cs="Times New Roman"/>
                <w:lang w:val="en-US" w:eastAsia="zh-CN"/>
              </w:rPr>
              <w:t>3.5</w:t>
            </w:r>
            <w:r>
              <w:rPr>
                <w:rFonts w:hint="default" w:ascii="Times New Roman" w:hAnsi="Times New Roman" w:eastAsia="宋体" w:cs="Times New Roman"/>
              </w:rPr>
              <w:t>kg/h，排气筒高度</w:t>
            </w:r>
            <w:r>
              <w:rPr>
                <w:rFonts w:hint="default" w:ascii="Times New Roman" w:hAnsi="Times New Roman" w:eastAsia="宋体" w:cs="Times New Roman"/>
                <w:lang w:val="en-US" w:eastAsia="zh-CN"/>
              </w:rPr>
              <w:t>15m，还应高出周围200m半径范围的建筑物5m以上</w:t>
            </w:r>
            <w:r>
              <w:rPr>
                <w:rFonts w:hint="default" w:ascii="Times New Roman" w:hAnsi="Times New Roman" w:eastAsia="宋体" w:cs="Times New Roman"/>
              </w:rPr>
              <w:t>；《大气污染物综合排放标准》（GB16297-1996）表2中</w:t>
            </w:r>
            <w:r>
              <w:rPr>
                <w:rFonts w:hint="default" w:ascii="Times New Roman" w:hAnsi="Times New Roman" w:eastAsia="宋体" w:cs="Times New Roman"/>
                <w:lang w:val="zh-CN"/>
              </w:rPr>
              <w:t>颗粒物无组织排放周界外浓度最高点1.0mg/m</w:t>
            </w:r>
            <w:r>
              <w:rPr>
                <w:rFonts w:hint="default" w:ascii="Times New Roman" w:hAnsi="Times New Roman" w:eastAsia="宋体" w:cs="Times New Roman"/>
                <w:vertAlign w:val="superscript"/>
                <w:lang w:val="zh-CN"/>
              </w:rPr>
              <w:t>3</w:t>
            </w:r>
            <w:r>
              <w:rPr>
                <w:rFonts w:hint="default" w:ascii="Times New Roman" w:hAnsi="Times New Roman" w:eastAsia="宋体" w:cs="Times New Roman"/>
                <w:lang w:val="zh-CN"/>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rPr>
            </w:pPr>
            <w:r>
              <w:rPr>
                <w:rFonts w:hint="eastAsia"/>
                <w:lang w:eastAsia="zh-CN"/>
              </w:rPr>
              <w:t>（</w:t>
            </w:r>
            <w:r>
              <w:rPr>
                <w:rFonts w:hint="eastAsia"/>
                <w:lang w:val="en-US" w:eastAsia="zh-CN"/>
              </w:rPr>
              <w:t>2</w:t>
            </w:r>
            <w:r>
              <w:rPr>
                <w:rFonts w:hint="eastAsia"/>
                <w:lang w:eastAsia="zh-CN"/>
              </w:rPr>
              <w:t>）</w:t>
            </w:r>
            <w:r>
              <w:rPr>
                <w:rFonts w:hint="default"/>
              </w:rPr>
              <w:t>《工业企业厂界环境噪声排放标准》（GB12348-2008）执行</w:t>
            </w:r>
            <w:r>
              <w:rPr>
                <w:rFonts w:hint="default"/>
                <w:lang w:val="en-US"/>
              </w:rPr>
              <w:t>2</w:t>
            </w:r>
            <w:r>
              <w:rPr>
                <w:rFonts w:hint="default"/>
              </w:rPr>
              <w:t>类标准：昼间</w:t>
            </w:r>
            <w:r>
              <w:rPr>
                <w:rFonts w:hint="default"/>
                <w:lang w:val="en-US"/>
              </w:rPr>
              <w:t>60</w:t>
            </w:r>
            <w:r>
              <w:rPr>
                <w:rFonts w:hint="default"/>
              </w:rPr>
              <w:t>dB（A）、夜间5</w:t>
            </w:r>
            <w:r>
              <w:rPr>
                <w:rFonts w:hint="default"/>
                <w:lang w:val="en-US"/>
              </w:rPr>
              <w:t>0</w:t>
            </w:r>
            <w:r>
              <w:rPr>
                <w:rFonts w:hint="default"/>
              </w:rPr>
              <w:t>dB（A）；</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rPr>
            </w:pPr>
            <w:r>
              <w:rPr>
                <w:rFonts w:hint="eastAsia"/>
                <w:lang w:eastAsia="zh-CN"/>
              </w:rPr>
              <w:t>（</w:t>
            </w:r>
            <w:r>
              <w:rPr>
                <w:rFonts w:hint="eastAsia"/>
                <w:lang w:val="en-US" w:eastAsia="zh-CN"/>
              </w:rPr>
              <w:t>3</w:t>
            </w:r>
            <w:r>
              <w:rPr>
                <w:rFonts w:hint="eastAsia"/>
                <w:lang w:eastAsia="zh-CN"/>
              </w:rPr>
              <w:t>）</w:t>
            </w:r>
            <w:r>
              <w:rPr>
                <w:rFonts w:hint="default"/>
                <w:lang w:eastAsia="zh-CN"/>
              </w:rPr>
              <w:t>一般固体废物执行</w:t>
            </w:r>
            <w:r>
              <w:rPr>
                <w:rFonts w:hint="default"/>
              </w:rPr>
              <w:t>《一般工业固体废物贮存</w:t>
            </w:r>
            <w:r>
              <w:rPr>
                <w:rFonts w:hint="eastAsia"/>
                <w:lang w:eastAsia="zh-CN"/>
              </w:rPr>
              <w:t>和填埋</w:t>
            </w:r>
            <w:r>
              <w:rPr>
                <w:rFonts w:hint="default"/>
              </w:rPr>
              <w:t>场污染控制标准》（GB</w:t>
            </w:r>
            <w:r>
              <w:rPr>
                <w:rFonts w:hint="eastAsia"/>
                <w:lang w:val="en-US" w:eastAsia="zh-CN"/>
              </w:rPr>
              <w:t>18599</w:t>
            </w:r>
            <w:r>
              <w:rPr>
                <w:rFonts w:hint="default"/>
              </w:rPr>
              <w:t>-</w:t>
            </w:r>
            <w:r>
              <w:rPr>
                <w:rFonts w:hint="eastAsia"/>
                <w:lang w:val="en-US" w:eastAsia="zh-CN"/>
              </w:rPr>
              <w:t>2020</w:t>
            </w:r>
            <w:r>
              <w:rPr>
                <w:rFonts w:hint="default"/>
              </w:rPr>
              <w:t>）</w:t>
            </w:r>
            <w:r>
              <w:rPr>
                <w:rFonts w:hint="eastAsia"/>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eastAsia="宋体"/>
                <w:lang w:eastAsia="zh-CN"/>
              </w:rPr>
            </w:pPr>
            <w:r>
              <w:rPr>
                <w:rFonts w:hint="eastAsia"/>
                <w:lang w:eastAsia="zh-CN"/>
              </w:rPr>
              <w:t>（</w:t>
            </w:r>
            <w:r>
              <w:rPr>
                <w:rFonts w:hint="eastAsia"/>
                <w:lang w:val="en-US" w:eastAsia="zh-CN"/>
              </w:rPr>
              <w:t>4</w:t>
            </w:r>
            <w:r>
              <w:rPr>
                <w:rFonts w:hint="eastAsia"/>
                <w:lang w:eastAsia="zh-CN"/>
              </w:rPr>
              <w:t>）</w:t>
            </w:r>
            <w:r>
              <w:rPr>
                <w:rFonts w:hint="default"/>
              </w:rPr>
              <w:t>危险废物执行</w:t>
            </w:r>
            <w:bookmarkStart w:id="4" w:name="OLE_LINK32"/>
            <w:r>
              <w:rPr>
                <w:rFonts w:hint="default"/>
              </w:rPr>
              <w:t>《危险废物贮存污染控制标准》（GB18597-2001）及其修改单中的标准；危险废物收集、贮存、运输执行《危险废物收集、贮存、运输技术规范》（HJ2025-2012）。</w:t>
            </w:r>
            <w:bookmarkEnd w:id="4"/>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5" w:hRule="atLeast"/>
        </w:trPr>
        <w:tc>
          <w:tcPr>
            <w:tcW w:w="799" w:type="dxa"/>
            <w:tcBorders>
              <w:top w:val="single" w:color="000000" w:sz="4" w:space="0"/>
              <w:right w:val="single" w:color="000000" w:sz="4" w:space="0"/>
            </w:tcBorders>
            <w:vAlign w:val="center"/>
          </w:tcPr>
          <w:p>
            <w:pPr>
              <w:pStyle w:val="23"/>
              <w:spacing w:line="242" w:lineRule="auto"/>
            </w:pPr>
            <w:r>
              <w:t>总</w:t>
            </w:r>
          </w:p>
          <w:p>
            <w:pPr>
              <w:pStyle w:val="23"/>
              <w:spacing w:line="242" w:lineRule="auto"/>
            </w:pPr>
            <w:r>
              <w:t>量</w:t>
            </w:r>
          </w:p>
          <w:p>
            <w:pPr>
              <w:pStyle w:val="23"/>
              <w:spacing w:line="242" w:lineRule="auto"/>
            </w:pPr>
            <w:r>
              <w:t>控</w:t>
            </w:r>
          </w:p>
          <w:p>
            <w:pPr>
              <w:pStyle w:val="23"/>
              <w:spacing w:line="242" w:lineRule="auto"/>
            </w:pPr>
            <w:r>
              <w:t>制</w:t>
            </w:r>
          </w:p>
          <w:p>
            <w:pPr>
              <w:pStyle w:val="23"/>
              <w:spacing w:line="242" w:lineRule="auto"/>
            </w:pPr>
            <w:r>
              <w:t>指</w:t>
            </w:r>
          </w:p>
          <w:p>
            <w:pPr>
              <w:pStyle w:val="23"/>
              <w:spacing w:line="242" w:lineRule="auto"/>
            </w:pPr>
            <w:r>
              <w:t>标</w:t>
            </w:r>
          </w:p>
        </w:tc>
        <w:tc>
          <w:tcPr>
            <w:tcW w:w="8190" w:type="dxa"/>
            <w:tcBorders>
              <w:top w:val="single" w:color="000000" w:sz="4" w:space="0"/>
              <w:lef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line="500" w:lineRule="exact"/>
              <w:jc w:val="left"/>
              <w:textAlignment w:val="auto"/>
              <w:rPr>
                <w:rFonts w:ascii="Times New Roman" w:hAnsi="Times New Roman" w:cs="Times New Roman"/>
              </w:rPr>
            </w:pPr>
          </w:p>
          <w:p>
            <w:pPr>
              <w:pStyle w:val="23"/>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eastAsia" w:ascii="Times New Roman" w:hAnsi="Times New Roman" w:cs="Times New Roman"/>
              </w:rPr>
            </w:pPr>
          </w:p>
          <w:p>
            <w:pPr>
              <w:bidi w:val="0"/>
              <w:rPr>
                <w:rFonts w:ascii="Times New Roman" w:hAnsi="Times New Roman" w:cs="Times New Roman"/>
              </w:rPr>
            </w:pPr>
            <w:r>
              <w:rPr>
                <w:rFonts w:hint="eastAsia" w:ascii="宋体" w:hAnsi="宋体" w:eastAsia="宋体" w:cs="宋体"/>
              </w:rPr>
              <w:t>无</w:t>
            </w:r>
          </w:p>
          <w:p>
            <w:pPr>
              <w:pStyle w:val="23"/>
              <w:jc w:val="both"/>
              <w:rPr>
                <w:rFonts w:ascii="Times New Roman" w:hAnsi="Times New Roman" w:cs="Times New Roman"/>
              </w:rPr>
            </w:pPr>
          </w:p>
          <w:p>
            <w:pPr>
              <w:pStyle w:val="23"/>
              <w:jc w:val="both"/>
              <w:rPr>
                <w:rFonts w:ascii="Times New Roman" w:hAnsi="Times New Roman" w:cs="Times New Roman"/>
              </w:rPr>
            </w:pPr>
          </w:p>
          <w:p>
            <w:pPr>
              <w:pStyle w:val="23"/>
              <w:jc w:val="both"/>
              <w:rPr>
                <w:rFonts w:ascii="Times New Roman" w:hAnsi="Times New Roman" w:cs="Times New Roman"/>
              </w:rPr>
            </w:pPr>
          </w:p>
          <w:p>
            <w:pPr>
              <w:pStyle w:val="23"/>
              <w:jc w:val="both"/>
            </w:pPr>
          </w:p>
        </w:tc>
      </w:tr>
    </w:tbl>
    <w:p>
      <w:pPr>
        <w:jc w:val="right"/>
        <w:rPr>
          <w:sz w:val="21"/>
        </w:rPr>
        <w:sectPr>
          <w:footerReference r:id="rId8" w:type="default"/>
          <w:footerReference r:id="rId9" w:type="even"/>
          <w:pgSz w:w="11910" w:h="16850"/>
          <w:pgMar w:top="1417" w:right="1247" w:bottom="1417" w:left="1247" w:header="0" w:footer="1247" w:gutter="0"/>
          <w:cols w:space="720" w:num="1"/>
        </w:sectPr>
      </w:pPr>
    </w:p>
    <w:p>
      <w:pPr>
        <w:pStyle w:val="3"/>
        <w:spacing w:after="120"/>
        <w:rPr>
          <w:sz w:val="21"/>
        </w:rPr>
      </w:pPr>
      <w:r>
        <w:rPr>
          <w:rFonts w:hint="eastAsia"/>
        </w:rPr>
        <w:t>四、主要环境影响和保护措施</w:t>
      </w:r>
    </w:p>
    <w:tbl>
      <w:tblPr>
        <w:tblStyle w:val="15"/>
        <w:tblW w:w="0" w:type="auto"/>
        <w:tblInd w:w="1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46"/>
        <w:gridCol w:w="81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9" w:hRule="atLeast"/>
        </w:trPr>
        <w:tc>
          <w:tcPr>
            <w:tcW w:w="746" w:type="dxa"/>
            <w:tcBorders>
              <w:bottom w:val="single" w:color="000000" w:sz="4" w:space="0"/>
              <w:right w:val="single" w:color="000000" w:sz="4" w:space="0"/>
            </w:tcBorders>
            <w:vAlign w:val="center"/>
          </w:tcPr>
          <w:p>
            <w:pPr>
              <w:pStyle w:val="23"/>
              <w:spacing w:line="240" w:lineRule="auto"/>
            </w:pPr>
            <w:r>
              <w:t>施</w:t>
            </w:r>
          </w:p>
          <w:p>
            <w:pPr>
              <w:pStyle w:val="23"/>
              <w:spacing w:line="240" w:lineRule="auto"/>
            </w:pPr>
            <w:r>
              <w:t>工</w:t>
            </w:r>
          </w:p>
          <w:p>
            <w:pPr>
              <w:pStyle w:val="23"/>
              <w:spacing w:line="240" w:lineRule="auto"/>
            </w:pPr>
            <w:r>
              <w:t>期</w:t>
            </w:r>
          </w:p>
          <w:p>
            <w:pPr>
              <w:pStyle w:val="23"/>
              <w:spacing w:line="240" w:lineRule="auto"/>
            </w:pPr>
            <w:r>
              <w:t>环</w:t>
            </w:r>
          </w:p>
          <w:p>
            <w:pPr>
              <w:pStyle w:val="23"/>
              <w:spacing w:line="240" w:lineRule="auto"/>
            </w:pPr>
            <w:r>
              <w:t>境</w:t>
            </w:r>
          </w:p>
          <w:p>
            <w:pPr>
              <w:pStyle w:val="23"/>
              <w:spacing w:line="240" w:lineRule="auto"/>
            </w:pPr>
            <w:r>
              <w:t>保</w:t>
            </w:r>
          </w:p>
          <w:p>
            <w:pPr>
              <w:pStyle w:val="23"/>
              <w:spacing w:line="240" w:lineRule="auto"/>
            </w:pPr>
            <w:r>
              <w:t>护</w:t>
            </w:r>
          </w:p>
          <w:p>
            <w:pPr>
              <w:pStyle w:val="23"/>
              <w:spacing w:line="240" w:lineRule="auto"/>
            </w:pPr>
            <w:r>
              <w:t>措</w:t>
            </w:r>
          </w:p>
          <w:p>
            <w:pPr>
              <w:pStyle w:val="23"/>
              <w:spacing w:line="240" w:lineRule="auto"/>
            </w:pPr>
            <w:r>
              <w:t>施</w:t>
            </w:r>
          </w:p>
        </w:tc>
        <w:tc>
          <w:tcPr>
            <w:tcW w:w="8161" w:type="dxa"/>
            <w:tcBorders>
              <w:left w:val="single" w:color="000000" w:sz="4" w:space="0"/>
              <w:bottom w:val="single" w:color="000000" w:sz="4" w:space="0"/>
            </w:tcBorders>
            <w:vAlign w:val="center"/>
          </w:tcPr>
          <w:p>
            <w:pPr>
              <w:keepNext w:val="0"/>
              <w:keepLines w:val="0"/>
              <w:pageBreakBefore w:val="0"/>
              <w:kinsoku/>
              <w:wordWrap/>
              <w:overflowPunct/>
              <w:topLinePunct w:val="0"/>
              <w:autoSpaceDE w:val="0"/>
              <w:autoSpaceDN w:val="0"/>
              <w:bidi w:val="0"/>
              <w:adjustRightInd/>
              <w:snapToGrid/>
              <w:spacing w:line="500" w:lineRule="exact"/>
              <w:ind w:firstLine="482" w:firstLineChars="200"/>
              <w:jc w:val="left"/>
              <w:textAlignment w:val="auto"/>
              <w:rPr>
                <w:rFonts w:cs="Times New Roman"/>
                <w:b/>
                <w:bCs/>
              </w:rPr>
            </w:pPr>
            <w:r>
              <w:rPr>
                <w:rFonts w:cs="Times New Roman"/>
                <w:b/>
                <w:bCs/>
              </w:rPr>
              <w:t>1、施工期</w:t>
            </w:r>
            <w:r>
              <w:rPr>
                <w:rFonts w:hint="eastAsia" w:cs="Times New Roman"/>
                <w:b/>
                <w:bCs/>
              </w:rPr>
              <w:t>扬尘</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rPr>
            </w:pPr>
            <w:r>
              <w:rPr>
                <w:rFonts w:hint="default" w:ascii="Times New Roman" w:hAnsi="Times New Roman" w:cs="Times New Roman"/>
              </w:rPr>
              <w:t>施工期废气主要为建筑材料的装卸、转运和堆存等产生的扬尘以及车辆运输建筑材料引起的道路扬尘。</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根据本项目施工特点，为控制施工期扬尘对周围环境的影响，在施工期拟采取如下控制措施：</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rPr>
            </w:pPr>
            <w:r>
              <w:rPr>
                <w:rFonts w:hint="default" w:ascii="Times New Roman" w:hAnsi="Times New Roman" w:cs="Times New Roman"/>
              </w:rPr>
              <w:t>⑴施工现场设置硬质围挡，严禁围挡不严或敞开式施工，围挡高度不低于1.8m。</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rPr>
            </w:pPr>
            <w:r>
              <w:rPr>
                <w:rFonts w:hint="default" w:ascii="Times New Roman" w:hAnsi="Times New Roman" w:cs="Times New Roman"/>
              </w:rPr>
              <w:t>⑵施工现场集中堆放的土方和裸露场地采取覆盖、固化或绿化等降尘措施，严禁裸露。</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rPr>
            </w:pPr>
            <w:r>
              <w:rPr>
                <w:rFonts w:hint="default" w:ascii="Times New Roman" w:hAnsi="Times New Roman" w:cs="Times New Roman"/>
              </w:rPr>
              <w:t>⑶施工现场的建筑垃圾设置垃圾存放点，集中堆放并严密覆盖，及时清运。生活垃圾用封闭式容器存放，日产日清，严禁随意丢弃。</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rPr>
            </w:pPr>
            <w:r>
              <w:rPr>
                <w:rFonts w:hint="default" w:ascii="Times New Roman" w:hAnsi="Times New Roman" w:cs="Times New Roman"/>
              </w:rPr>
              <w:t>⑷施工现场易飞扬的细颗粒建筑材料密闭存放或严密覆盖，严禁露天放置；搬运时应有降尘措施，余料及时回收。</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rPr>
            </w:pPr>
            <w:r>
              <w:rPr>
                <w:rFonts w:hint="default" w:ascii="Times New Roman" w:hAnsi="Times New Roman" w:cs="Times New Roman"/>
              </w:rPr>
              <w:t>⑸</w:t>
            </w:r>
            <w:r>
              <w:rPr>
                <w:rFonts w:hint="default" w:ascii="Times New Roman" w:hAnsi="Times New Roman" w:cs="Times New Roman"/>
                <w:lang w:val="en-US"/>
              </w:rPr>
              <w:t>按照规定使用预拌混凝土、预拌砂浆等建筑材料，只能现场搅拌的，应当采取防尘措施；</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rPr>
            </w:pPr>
            <w:r>
              <w:rPr>
                <w:rFonts w:hint="default" w:ascii="Times New Roman" w:hAnsi="Times New Roman" w:cs="Times New Roman"/>
              </w:rPr>
              <w:t>⑹施工现场建立洒水清扫抑尘制度，配备洒水设备。每天洒水不少于2次，并有专人负责。重污染天气时相应增加洒水频次。</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rPr>
            </w:pPr>
            <w:r>
              <w:rPr>
                <w:rFonts w:hint="default" w:ascii="Times New Roman" w:hAnsi="Times New Roman" w:cs="Times New Roman"/>
              </w:rPr>
              <w:t>⑺运输车辆行驶路线尽量避开居民区和学校等环境敏感点。</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rPr>
            </w:pPr>
            <w:r>
              <w:rPr>
                <w:rFonts w:hint="default" w:ascii="Times New Roman" w:hAnsi="Times New Roman" w:cs="Times New Roman"/>
              </w:rPr>
              <w:t>⑻建筑材料的运输及建筑垃圾清理过程中，运输车辆应减速慢行，运输建筑垃圾及土方时应采用蓬布遮盖，以避免沿途洒落，减少运输扬尘。</w:t>
            </w:r>
          </w:p>
          <w:p>
            <w:pPr>
              <w:keepNext w:val="0"/>
              <w:keepLines w:val="0"/>
              <w:pageBreakBefore w:val="0"/>
              <w:widowControl/>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rPr>
            </w:pPr>
            <w:r>
              <w:rPr>
                <w:rFonts w:hint="default" w:ascii="Times New Roman" w:hAnsi="Times New Roman" w:cs="Times New Roman"/>
              </w:rPr>
              <w:t>总之，只要加强管理、切实落实以上防治措施，施工扬尘对大气环境的影响将会大大降低，同时其对环境的影响也将随施工期的结束而消失。采取上述措施后，</w:t>
            </w:r>
            <w:r>
              <w:rPr>
                <w:rFonts w:hint="default" w:ascii="Times New Roman" w:hAnsi="Times New Roman" w:cs="Times New Roman"/>
                <w:lang w:bidi="ar"/>
              </w:rPr>
              <w:t>施工期颗粒物排放满足《施工场地扬尘排放标准》(DB13/2934-2019)表1扬尘排放浓度限值：监测点PM</w:t>
            </w:r>
            <w:r>
              <w:rPr>
                <w:rFonts w:hint="default" w:ascii="Times New Roman" w:hAnsi="Times New Roman" w:cs="Times New Roman"/>
                <w:vertAlign w:val="subscript"/>
                <w:lang w:bidi="ar"/>
              </w:rPr>
              <w:t>10</w:t>
            </w:r>
            <w:r>
              <w:rPr>
                <w:rFonts w:hint="default" w:ascii="Times New Roman" w:hAnsi="Times New Roman" w:cs="Times New Roman"/>
                <w:lang w:bidi="ar"/>
              </w:rPr>
              <w:t>小时平均浓度实测值与同时段所属县（市、区）PM</w:t>
            </w:r>
            <w:r>
              <w:rPr>
                <w:rFonts w:hint="default" w:ascii="Times New Roman" w:hAnsi="Times New Roman" w:cs="Times New Roman"/>
                <w:vertAlign w:val="subscript"/>
                <w:lang w:bidi="ar"/>
              </w:rPr>
              <w:t>10</w:t>
            </w:r>
            <w:r>
              <w:rPr>
                <w:rFonts w:hint="default" w:ascii="Times New Roman" w:hAnsi="Times New Roman" w:cs="Times New Roman"/>
                <w:lang w:bidi="ar"/>
              </w:rPr>
              <w:t>小时平均浓度的差值限值＜80μg/m</w:t>
            </w:r>
            <w:r>
              <w:rPr>
                <w:rFonts w:hint="default" w:ascii="Times New Roman" w:hAnsi="Times New Roman" w:cs="Times New Roman"/>
                <w:vertAlign w:val="superscript"/>
                <w:lang w:bidi="ar"/>
              </w:rPr>
              <w:t>3</w:t>
            </w:r>
            <w:r>
              <w:rPr>
                <w:rFonts w:hint="default" w:ascii="Times New Roman" w:hAnsi="Times New Roman" w:cs="Times New Roman"/>
                <w:lang w:bidi="ar"/>
              </w:rPr>
              <w:t>。</w:t>
            </w:r>
          </w:p>
          <w:p>
            <w:pPr>
              <w:keepNext w:val="0"/>
              <w:keepLines w:val="0"/>
              <w:pageBreakBefore w:val="0"/>
              <w:kinsoku/>
              <w:wordWrap/>
              <w:overflowPunct/>
              <w:topLinePunct w:val="0"/>
              <w:autoSpaceDE w:val="0"/>
              <w:autoSpaceDN w:val="0"/>
              <w:bidi w:val="0"/>
              <w:adjustRightInd/>
              <w:snapToGrid/>
              <w:spacing w:line="500" w:lineRule="exact"/>
              <w:ind w:firstLine="482" w:firstLineChars="200"/>
              <w:jc w:val="left"/>
              <w:textAlignment w:val="auto"/>
              <w:rPr>
                <w:rFonts w:cs="Times New Roman"/>
                <w:b/>
                <w:bCs/>
              </w:rPr>
            </w:pPr>
            <w:r>
              <w:rPr>
                <w:rFonts w:cs="Times New Roman"/>
                <w:b/>
                <w:bCs/>
              </w:rPr>
              <w:t>2、施工期</w:t>
            </w:r>
            <w:r>
              <w:rPr>
                <w:rFonts w:hint="eastAsia" w:cs="Times New Roman"/>
                <w:b/>
                <w:bCs/>
              </w:rPr>
              <w:t>废水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本项目施工期废水主要是施工人员产生的生活污水。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施工期间施工人员按</w:t>
            </w:r>
            <w:r>
              <w:rPr>
                <w:rFonts w:hint="eastAsia" w:cs="Times New Roman"/>
                <w:color w:val="auto"/>
                <w:sz w:val="24"/>
                <w:lang w:val="en-US" w:eastAsia="zh-CN"/>
              </w:rPr>
              <w:t>20</w:t>
            </w:r>
            <w:r>
              <w:rPr>
                <w:rFonts w:hint="default" w:ascii="Times New Roman" w:hAnsi="Times New Roman" w:cs="Times New Roman"/>
                <w:color w:val="auto"/>
                <w:sz w:val="24"/>
              </w:rPr>
              <w:t>人计，生活用水量按20L/（人·d）计，则生活用水量为0.</w:t>
            </w:r>
            <w:r>
              <w:rPr>
                <w:rFonts w:hint="eastAsia" w:cs="Times New Roman"/>
                <w:color w:val="auto"/>
                <w:sz w:val="24"/>
                <w:lang w:val="en-US" w:eastAsia="zh-CN"/>
              </w:rPr>
              <w:t>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/d。生活污水的排放量按用水量的0.8计，则本项目施工期间生活污水产生量为0.</w:t>
            </w:r>
            <w:r>
              <w:rPr>
                <w:rFonts w:hint="eastAsia" w:cs="Times New Roman"/>
                <w:color w:val="auto"/>
                <w:sz w:val="24"/>
                <w:lang w:val="en-US" w:eastAsia="zh-CN"/>
              </w:rPr>
              <w:t>32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/d，主要污染因子为</w:t>
            </w:r>
            <w:r>
              <w:rPr>
                <w:rFonts w:hint="eastAsia" w:cs="Times New Roman"/>
                <w:color w:val="auto"/>
                <w:sz w:val="24"/>
                <w:u w:val="none"/>
                <w:lang w:val="en-US" w:eastAsia="zh-CN"/>
              </w:rPr>
              <w:t>pH</w:t>
            </w:r>
            <w:r>
              <w:rPr>
                <w:rFonts w:hint="eastAsia" w:cs="Times New Roman"/>
                <w:color w:val="auto"/>
                <w:sz w:val="24"/>
                <w:lang w:val="en-US" w:eastAsia="zh-CN"/>
              </w:rPr>
              <w:t>、</w:t>
            </w:r>
            <w:r>
              <w:rPr>
                <w:rFonts w:hint="default" w:ascii="Times New Roman" w:hAnsi="Times New Roman" w:cs="Times New Roman"/>
                <w:color w:val="auto"/>
                <w:sz w:val="24"/>
              </w:rPr>
              <w:t>COD、BOD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、SS、NH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-N，该废水产生量较小且水质简单，直接泼洒抑尘，不外排。</w:t>
            </w:r>
          </w:p>
          <w:p>
            <w:pPr>
              <w:keepNext w:val="0"/>
              <w:keepLines w:val="0"/>
              <w:pageBreakBefore w:val="0"/>
              <w:kinsoku/>
              <w:wordWrap/>
              <w:overflowPunct/>
              <w:topLinePunct w:val="0"/>
              <w:autoSpaceDE w:val="0"/>
              <w:autoSpaceDN w:val="0"/>
              <w:bidi w:val="0"/>
              <w:adjustRightInd/>
              <w:snapToGrid/>
              <w:spacing w:line="500" w:lineRule="exact"/>
              <w:ind w:firstLine="482" w:firstLineChars="200"/>
              <w:jc w:val="left"/>
              <w:textAlignment w:val="auto"/>
              <w:rPr>
                <w:rFonts w:cs="Times New Roman"/>
                <w:b/>
                <w:bCs/>
              </w:rPr>
            </w:pPr>
            <w:r>
              <w:rPr>
                <w:rFonts w:cs="Times New Roman"/>
                <w:b/>
                <w:bCs/>
              </w:rPr>
              <w:t>3、施工期</w:t>
            </w:r>
            <w:r>
              <w:rPr>
                <w:rFonts w:hint="eastAsia" w:cs="Times New Roman"/>
                <w:b/>
                <w:bCs/>
              </w:rPr>
              <w:t>噪声</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rPr>
                <w:rFonts w:cs="Times New Roman"/>
              </w:rPr>
            </w:pPr>
            <w:r>
              <w:rPr>
                <w:rFonts w:cs="Times New Roman"/>
              </w:rPr>
              <w:t>施工期产生的噪声主要是各种施工机械设备噪声和运输车辆噪声，经类比调查，噪声级一般在70～</w:t>
            </w:r>
            <w:r>
              <w:rPr>
                <w:rFonts w:hint="eastAsia" w:cs="Times New Roman"/>
                <w:lang w:val="en-US"/>
              </w:rPr>
              <w:t>90</w:t>
            </w:r>
            <w:r>
              <w:rPr>
                <w:rFonts w:cs="Times New Roman"/>
              </w:rPr>
              <w:t>dB（A）之间。为了减少施工噪声对周边居民的影响，施工过程中可采取如下控制措施：</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⑴</w:t>
            </w:r>
            <w:r>
              <w:t>施工期间选用产生噪声值较低的施工设备，从源头</w:t>
            </w:r>
            <w:r>
              <w:rPr>
                <w:rFonts w:hint="eastAsia"/>
              </w:rPr>
              <w:t>削</w:t>
            </w:r>
            <w:r>
              <w:t>减噪声；</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⑵</w:t>
            </w:r>
            <w:r>
              <w:t>施工现场不得安装混凝土搅拌机，应在有关部门指定地点搅拌好后，运至工地使用，运输车辆通过要减速慢行以减低噪声；</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⑶</w:t>
            </w:r>
            <w:r>
              <w:t>施工期间建筑材料和建筑垃圾的运输路线优化选择，尽量避开村庄</w:t>
            </w:r>
            <w:r>
              <w:rPr>
                <w:rFonts w:hint="eastAsia"/>
              </w:rPr>
              <w:t>，运输车辆减速慢行、禁止鸣笛</w:t>
            </w:r>
            <w:r>
              <w:t>；</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⑷</w:t>
            </w:r>
            <w:r>
              <w:t>施工期间严格控制施工时间，若必须连续施工作业时，须提前向有关部门提出申请，并应提前张贴公告通知周边可能受到影响的居民及单位，经批准后，方可进行夜间施工；</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⑸</w:t>
            </w:r>
            <w:r>
              <w:t>合理安排施工计划、施工机械设备组合以及施工时间，避免在同一时间集中使用大量的动力机械设备；</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⑹</w:t>
            </w:r>
            <w:r>
              <w:t>加强施工期管理，施工单位设专人负责施工机械的保养和维护，保养和维护要有切实可行的规章制度，要定期对现场工作人员进行培训，每个工人都要严格按照规范使用各类机械，避免因故障产生突发噪声。</w:t>
            </w:r>
          </w:p>
          <w:p>
            <w:pPr>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rPr>
                <w:rFonts w:cs="Times New Roman"/>
              </w:rPr>
            </w:pPr>
            <w:r>
              <w:rPr>
                <w:rFonts w:cs="Times New Roman"/>
              </w:rPr>
              <w:t>经采取以上措施后，可有效减轻施工噪声对周围环境产生的影响，可使建筑施</w:t>
            </w:r>
            <w:r>
              <w:rPr>
                <w:rFonts w:hint="eastAsia" w:cs="Times New Roman"/>
              </w:rPr>
              <w:t>工</w:t>
            </w:r>
            <w:r>
              <w:rPr>
                <w:rFonts w:cs="Times New Roman"/>
              </w:rPr>
              <w:t>场界噪声满足《建筑施工场界环境噪声排放标准》（GB12523-2011）的要求，且施工期噪声影响将随着施工期结束而终止。</w:t>
            </w:r>
          </w:p>
          <w:p>
            <w:pPr>
              <w:keepNext w:val="0"/>
              <w:keepLines w:val="0"/>
              <w:pageBreakBefore w:val="0"/>
              <w:kinsoku/>
              <w:wordWrap/>
              <w:overflowPunct/>
              <w:topLinePunct w:val="0"/>
              <w:autoSpaceDE w:val="0"/>
              <w:autoSpaceDN w:val="0"/>
              <w:bidi w:val="0"/>
              <w:adjustRightInd/>
              <w:snapToGrid/>
              <w:spacing w:line="500" w:lineRule="exact"/>
              <w:ind w:firstLine="482" w:firstLineChars="200"/>
              <w:jc w:val="left"/>
              <w:textAlignment w:val="auto"/>
              <w:rPr>
                <w:rFonts w:cs="Times New Roman"/>
                <w:b/>
                <w:bCs/>
              </w:rPr>
            </w:pPr>
            <w:r>
              <w:rPr>
                <w:rFonts w:cs="Times New Roman"/>
                <w:b/>
                <w:bCs/>
              </w:rPr>
              <w:t>4、施工期固体废</w:t>
            </w:r>
            <w:r>
              <w:rPr>
                <w:rFonts w:hint="eastAsia" w:cs="Times New Roman"/>
                <w:b/>
                <w:bCs/>
              </w:rPr>
              <w:t>物</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期的固体废物主要是建筑垃圾和施工人员的生活垃圾。建筑垃圾及时收集清运至指定地点处理；施工人员生活垃圾产生量较少，袋装化，集中收集后，送当地有关部门指定地点统一处理。因此，施工期固体废物对周围环境影响较小。</w:t>
            </w:r>
          </w:p>
          <w:p>
            <w:pPr>
              <w:pStyle w:val="23"/>
              <w:keepNext w:val="0"/>
              <w:keepLines w:val="0"/>
              <w:pageBreakBefore w:val="0"/>
              <w:kinsoku/>
              <w:wordWrap/>
              <w:overflowPunct/>
              <w:topLinePunct w:val="0"/>
              <w:autoSpaceDE w:val="0"/>
              <w:autoSpaceDN w:val="0"/>
              <w:bidi w:val="0"/>
              <w:adjustRightInd/>
              <w:snapToGrid/>
              <w:spacing w:line="500" w:lineRule="exact"/>
              <w:ind w:firstLine="480" w:firstLineChars="200"/>
              <w:jc w:val="left"/>
              <w:textAlignment w:val="auto"/>
            </w:pPr>
            <w:r>
              <w:rPr>
                <w:rFonts w:hint="default" w:ascii="Times New Roman" w:hAnsi="Times New Roman" w:cs="Times New Roman"/>
                <w:color w:val="auto"/>
                <w:sz w:val="24"/>
              </w:rPr>
              <w:t>综上所述，本项目施工期产生一定的施工废气、废水、固废和施工噪声，对周围环境有一定影响，但是这种影响是短暂的，影响程度较轻，且会随着施工期结束而终止。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11" w:hRule="atLeast"/>
        </w:trPr>
        <w:tc>
          <w:tcPr>
            <w:tcW w:w="746" w:type="dxa"/>
            <w:tcBorders>
              <w:top w:val="single" w:color="000000" w:sz="4" w:space="0"/>
              <w:right w:val="single" w:color="000000" w:sz="4" w:space="0"/>
            </w:tcBorders>
            <w:vAlign w:val="center"/>
          </w:tcPr>
          <w:p>
            <w:pPr>
              <w:pStyle w:val="23"/>
              <w:spacing w:before="1" w:line="242" w:lineRule="auto"/>
              <w:ind w:right="43"/>
            </w:pPr>
            <w:r>
              <w:t>运</w:t>
            </w:r>
          </w:p>
          <w:p>
            <w:pPr>
              <w:pStyle w:val="23"/>
              <w:spacing w:before="1" w:line="242" w:lineRule="auto"/>
              <w:ind w:right="43"/>
            </w:pPr>
            <w:r>
              <w:t>营</w:t>
            </w:r>
          </w:p>
          <w:p>
            <w:pPr>
              <w:pStyle w:val="23"/>
              <w:spacing w:before="1" w:line="242" w:lineRule="auto"/>
              <w:ind w:right="43"/>
            </w:pPr>
            <w:r>
              <w:t>期</w:t>
            </w:r>
          </w:p>
          <w:p>
            <w:pPr>
              <w:pStyle w:val="23"/>
              <w:spacing w:before="1" w:line="242" w:lineRule="auto"/>
              <w:ind w:right="43"/>
            </w:pPr>
            <w:r>
              <w:t>环</w:t>
            </w:r>
          </w:p>
          <w:p>
            <w:pPr>
              <w:pStyle w:val="23"/>
              <w:spacing w:before="1" w:line="242" w:lineRule="auto"/>
              <w:ind w:right="43"/>
            </w:pPr>
            <w:r>
              <w:t>境</w:t>
            </w:r>
          </w:p>
          <w:p>
            <w:pPr>
              <w:pStyle w:val="23"/>
              <w:spacing w:before="1" w:line="242" w:lineRule="auto"/>
              <w:ind w:right="43"/>
            </w:pPr>
            <w:r>
              <w:t>影</w:t>
            </w:r>
          </w:p>
          <w:p>
            <w:pPr>
              <w:pStyle w:val="23"/>
              <w:spacing w:before="1" w:line="242" w:lineRule="auto"/>
              <w:ind w:right="43"/>
            </w:pPr>
            <w:r>
              <w:t>响</w:t>
            </w:r>
          </w:p>
          <w:p>
            <w:pPr>
              <w:pStyle w:val="23"/>
              <w:spacing w:before="1" w:line="242" w:lineRule="auto"/>
              <w:ind w:right="43"/>
            </w:pPr>
            <w:r>
              <w:t>和</w:t>
            </w:r>
          </w:p>
          <w:p>
            <w:pPr>
              <w:pStyle w:val="23"/>
              <w:spacing w:before="1" w:line="242" w:lineRule="auto"/>
              <w:ind w:right="43"/>
            </w:pPr>
            <w:r>
              <w:t>保</w:t>
            </w:r>
          </w:p>
          <w:p>
            <w:pPr>
              <w:pStyle w:val="23"/>
              <w:spacing w:before="1" w:line="242" w:lineRule="auto"/>
              <w:ind w:right="43"/>
            </w:pPr>
            <w:r>
              <w:t>护</w:t>
            </w:r>
          </w:p>
          <w:p>
            <w:pPr>
              <w:pStyle w:val="23"/>
              <w:spacing w:before="1" w:line="242" w:lineRule="auto"/>
              <w:ind w:right="43"/>
            </w:pPr>
            <w:r>
              <w:t>措</w:t>
            </w:r>
          </w:p>
          <w:p>
            <w:pPr>
              <w:pStyle w:val="23"/>
              <w:spacing w:before="1" w:line="242" w:lineRule="auto"/>
              <w:ind w:right="43"/>
            </w:pPr>
            <w:r>
              <w:t>施</w:t>
            </w:r>
          </w:p>
        </w:tc>
        <w:tc>
          <w:tcPr>
            <w:tcW w:w="8161" w:type="dxa"/>
            <w:tcBorders>
              <w:top w:val="single" w:color="000000" w:sz="4" w:space="0"/>
              <w:left w:val="single" w:color="000000" w:sz="4" w:space="0"/>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right="0" w:rightChars="0" w:firstLine="482" w:firstLineChars="200"/>
              <w:jc w:val="left"/>
              <w:textAlignment w:val="auto"/>
              <w:rPr>
                <w:rFonts w:hint="eastAsia"/>
                <w:b/>
                <w:bCs/>
                <w:lang w:val="en-US" w:eastAsia="zh-CN"/>
              </w:rPr>
            </w:pPr>
            <w:r>
              <w:rPr>
                <w:rFonts w:hint="eastAsia"/>
                <w:b/>
                <w:bCs/>
                <w:lang w:val="en-US" w:eastAsia="zh-CN"/>
              </w:rPr>
              <w:t>1、废气</w:t>
            </w:r>
          </w:p>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b/>
                <w:bCs/>
                <w:lang w:val="en-US" w:eastAsia="zh-CN"/>
              </w:rPr>
            </w:pPr>
            <w:r>
              <w:rPr>
                <w:rFonts w:hint="eastAsia"/>
                <w:b/>
                <w:bCs/>
                <w:lang w:val="en-US" w:eastAsia="zh-CN"/>
              </w:rPr>
              <w:t>1.1废气源强估算</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Times New Roman" w:hAnsi="Times New Roman" w:eastAsia="宋体" w:cs="Times New Roman"/>
                <w:color w:val="auto"/>
                <w:spacing w:val="0"/>
                <w:sz w:val="24"/>
                <w:lang w:val="en-US" w:eastAsia="zh-CN"/>
              </w:rPr>
            </w:pPr>
            <w:r>
              <w:rPr>
                <w:rFonts w:hint="eastAsia" w:cs="Times New Roman"/>
                <w:color w:val="000000"/>
                <w:spacing w:val="0"/>
                <w:sz w:val="24"/>
                <w:lang w:eastAsia="zh-CN"/>
              </w:rPr>
              <w:t>本项目废气</w:t>
            </w:r>
            <w:r>
              <w:rPr>
                <w:rFonts w:hint="default" w:ascii="Times New Roman" w:hAnsi="Times New Roman" w:eastAsia="宋体" w:cs="Times New Roman"/>
                <w:color w:val="000000"/>
                <w:spacing w:val="0"/>
                <w:sz w:val="24"/>
              </w:rPr>
              <w:t>主要为</w:t>
            </w:r>
            <w:r>
              <w:rPr>
                <w:rFonts w:hint="eastAsia" w:cs="Times New Roman"/>
                <w:color w:val="000000"/>
                <w:spacing w:val="0"/>
                <w:sz w:val="24"/>
                <w:lang w:eastAsia="zh-CN"/>
              </w:rPr>
              <w:t>物料运输、装卸产生的颗粒物；</w:t>
            </w:r>
            <w:r>
              <w:rPr>
                <w:rFonts w:hint="default" w:ascii="Times New Roman" w:hAnsi="Times New Roman" w:cs="Times New Roman"/>
                <w:color w:val="auto"/>
                <w:sz w:val="24"/>
              </w:rPr>
              <w:t>破碎</w:t>
            </w:r>
            <w:r>
              <w:rPr>
                <w:rFonts w:hint="eastAsia" w:cs="Times New Roman"/>
                <w:color w:val="auto"/>
                <w:sz w:val="24"/>
                <w:lang w:eastAsia="zh-CN"/>
              </w:rPr>
              <w:t>工序</w:t>
            </w:r>
            <w:r>
              <w:rPr>
                <w:rFonts w:hint="default" w:ascii="Times New Roman" w:hAnsi="Times New Roman" w:cs="Times New Roman"/>
                <w:color w:val="auto"/>
                <w:sz w:val="24"/>
              </w:rPr>
              <w:t>产生的颗粒物</w:t>
            </w:r>
            <w:r>
              <w:rPr>
                <w:rFonts w:hint="eastAsia" w:cs="Times New Roman"/>
                <w:color w:val="000000"/>
                <w:spacing w:val="0"/>
                <w:sz w:val="24"/>
                <w:lang w:eastAsia="zh-CN"/>
              </w:rPr>
              <w:t>；车辆运输产生的颗粒物</w:t>
            </w:r>
            <w:r>
              <w:rPr>
                <w:rFonts w:hint="eastAsia" w:cs="Times New Roman"/>
                <w:color w:val="auto"/>
                <w:spacing w:val="0"/>
                <w:sz w:val="24"/>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lang w:eastAsia="zh-CN"/>
              </w:rPr>
            </w:pPr>
            <w:r>
              <w:rPr>
                <w:rFonts w:hint="eastAsia" w:cs="Times New Roman"/>
                <w:color w:val="000000"/>
                <w:spacing w:val="0"/>
                <w:sz w:val="24"/>
                <w:lang w:eastAsia="zh-CN"/>
              </w:rPr>
              <w:t>（</w:t>
            </w:r>
            <w:r>
              <w:rPr>
                <w:rFonts w:hint="eastAsia" w:cs="Times New Roman"/>
                <w:color w:val="000000"/>
                <w:spacing w:val="0"/>
                <w:sz w:val="24"/>
                <w:lang w:val="en-US" w:eastAsia="zh-CN"/>
              </w:rPr>
              <w:t>1</w:t>
            </w:r>
            <w:r>
              <w:rPr>
                <w:rFonts w:hint="eastAsia" w:cs="Times New Roman"/>
                <w:color w:val="000000"/>
                <w:spacing w:val="0"/>
                <w:sz w:val="24"/>
                <w:lang w:eastAsia="zh-CN"/>
              </w:rPr>
              <w:t>）物料运输、装卸产生的颗粒物</w:t>
            </w:r>
          </w:p>
          <w:p>
            <w:pPr>
              <w:pStyle w:val="6"/>
              <w:keepNext w:val="0"/>
              <w:keepLines w:val="0"/>
              <w:pageBreakBefore w:val="0"/>
              <w:widowControl w:val="0"/>
              <w:kinsoku/>
              <w:wordWrap/>
              <w:overflowPunct/>
              <w:topLinePunct w:val="0"/>
              <w:autoSpaceDE/>
              <w:autoSpaceDN/>
              <w:bidi w:val="0"/>
              <w:adjustRightInd/>
              <w:snapToGrid/>
              <w:spacing w:line="500" w:lineRule="exact"/>
              <w:ind w:firstLine="512" w:firstLineChars="200"/>
              <w:textAlignment w:val="auto"/>
              <w:rPr>
                <w:rFonts w:hint="default" w:ascii="Times New Roman" w:hAnsi="Times New Roman" w:eastAsia="宋体" w:cs="Times New Roman"/>
                <w:color w:val="auto"/>
                <w:kern w:val="24"/>
                <w:sz w:val="24"/>
                <w:highlight w:val="none"/>
                <w:lang w:val="en-US" w:eastAsia="zh-CN"/>
              </w:rPr>
            </w:pPr>
            <w:r>
              <w:rPr>
                <w:rFonts w:hint="default" w:ascii="Times New Roman" w:hAnsi="Times New Roman" w:eastAsia="宋体" w:cs="Times New Roman"/>
                <w:color w:val="auto"/>
              </w:rPr>
              <w:t>本项目物料</w:t>
            </w:r>
            <w:r>
              <w:rPr>
                <w:rFonts w:hint="default" w:ascii="Times New Roman" w:hAnsi="Times New Roman" w:eastAsia="宋体" w:cs="Times New Roman"/>
                <w:color w:val="auto"/>
                <w:lang w:eastAsia="zh-CN"/>
              </w:rPr>
              <w:t>卸载</w:t>
            </w:r>
            <w:r>
              <w:rPr>
                <w:rFonts w:hint="default" w:ascii="Times New Roman" w:hAnsi="Times New Roman" w:eastAsia="宋体" w:cs="Times New Roman"/>
                <w:color w:val="auto"/>
              </w:rPr>
              <w:t>过程均在</w:t>
            </w:r>
            <w:r>
              <w:rPr>
                <w:rFonts w:hint="eastAsia" w:eastAsia="宋体" w:cs="Times New Roman"/>
                <w:color w:val="auto"/>
                <w:lang w:eastAsia="zh-CN"/>
              </w:rPr>
              <w:t>原料库和成品库存车间</w:t>
            </w:r>
            <w:r>
              <w:rPr>
                <w:rFonts w:hint="default" w:ascii="Times New Roman" w:hAnsi="Times New Roman" w:eastAsia="宋体" w:cs="Times New Roman"/>
                <w:color w:val="auto"/>
              </w:rPr>
              <w:t>内进行，</w:t>
            </w:r>
            <w:r>
              <w:rPr>
                <w:rFonts w:hint="default" w:ascii="Times New Roman" w:hAnsi="Times New Roman" w:eastAsia="宋体" w:cs="Times New Roman"/>
                <w:color w:val="auto"/>
                <w:lang w:val="en-US"/>
              </w:rPr>
              <w:t>参照《逸散性工业粉尘控制技术》产污数据</w:t>
            </w:r>
            <w:r>
              <w:rPr>
                <w:rFonts w:hint="default" w:ascii="Times New Roman" w:hAnsi="Times New Roman" w:eastAsia="宋体" w:cs="Times New Roman"/>
                <w:color w:val="auto"/>
              </w:rPr>
              <w:t>，颗粒物产生量按</w:t>
            </w:r>
            <w:r>
              <w:rPr>
                <w:rFonts w:hint="default" w:ascii="Times New Roman" w:hAnsi="Times New Roman" w:eastAsia="宋体" w:cs="Times New Roman"/>
                <w:color w:val="auto"/>
                <w:lang w:val="en-US"/>
              </w:rPr>
              <w:t>0.0</w:t>
            </w:r>
            <w:r>
              <w:rPr>
                <w:rFonts w:hint="eastAsia" w:eastAsia="宋体" w:cs="Times New Roman"/>
                <w:color w:val="auto"/>
                <w:lang w:val="en-US" w:eastAsia="zh-CN"/>
              </w:rPr>
              <w:t>1</w:t>
            </w:r>
            <w:r>
              <w:rPr>
                <w:rFonts w:hint="default" w:ascii="Times New Roman" w:hAnsi="Times New Roman" w:eastAsia="宋体" w:cs="Times New Roman"/>
                <w:color w:val="auto"/>
                <w:lang w:val="en-US"/>
              </w:rPr>
              <w:t>kg/t-砂石料计</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原料总用量</w:t>
            </w:r>
            <w:r>
              <w:rPr>
                <w:rFonts w:hint="eastAsia" w:eastAsia="宋体" w:cs="Times New Roman"/>
                <w:color w:val="auto"/>
                <w:lang w:val="en-US" w:eastAsia="zh-CN"/>
              </w:rPr>
              <w:t>约</w:t>
            </w:r>
            <w:r>
              <w:rPr>
                <w:rFonts w:hint="default" w:ascii="Times New Roman" w:hAnsi="Times New Roman" w:eastAsia="宋体" w:cs="Times New Roman"/>
                <w:color w:val="auto"/>
                <w:lang w:val="en-US" w:eastAsia="zh-CN"/>
              </w:rPr>
              <w:t>为</w:t>
            </w:r>
            <w:r>
              <w:rPr>
                <w:rFonts w:hint="eastAsia" w:eastAsia="宋体" w:cs="Times New Roman"/>
                <w:color w:val="auto"/>
                <w:lang w:val="en-US" w:eastAsia="zh-CN"/>
              </w:rPr>
              <w:t>80</w:t>
            </w:r>
            <w:r>
              <w:rPr>
                <w:rFonts w:hint="default" w:ascii="Times New Roman" w:hAnsi="Times New Roman" w:eastAsia="宋体" w:cs="Times New Roman"/>
                <w:color w:val="auto"/>
                <w:lang w:val="en-US" w:eastAsia="zh-CN"/>
              </w:rPr>
              <w:t>万</w:t>
            </w:r>
            <w:r>
              <w:rPr>
                <w:rFonts w:hint="default" w:ascii="Times New Roman" w:hAnsi="Times New Roman" w:eastAsia="宋体" w:cs="Times New Roman"/>
                <w:color w:val="auto"/>
              </w:rPr>
              <w:t>t/a</w:t>
            </w:r>
            <w:r>
              <w:rPr>
                <w:rFonts w:hint="default" w:ascii="Times New Roman" w:hAnsi="Times New Roman" w:eastAsia="宋体" w:cs="Times New Roman"/>
                <w:color w:val="auto"/>
                <w:lang w:eastAsia="zh-CN"/>
              </w:rPr>
              <w:t>，则无组织颗粒物产生量为</w:t>
            </w:r>
            <w:r>
              <w:rPr>
                <w:rFonts w:hint="eastAsia" w:eastAsia="宋体" w:cs="Times New Roman"/>
                <w:color w:val="auto"/>
                <w:lang w:val="en-US" w:eastAsia="zh-CN"/>
              </w:rPr>
              <w:t>8</w:t>
            </w:r>
            <w:r>
              <w:rPr>
                <w:rFonts w:hint="default" w:ascii="Times New Roman" w:hAnsi="Times New Roman" w:eastAsia="宋体" w:cs="Times New Roman"/>
                <w:color w:val="auto"/>
              </w:rPr>
              <w:t>t/a</w:t>
            </w:r>
            <w:r>
              <w:rPr>
                <w:rFonts w:hint="default" w:ascii="Times New Roman" w:hAnsi="Times New Roman" w:eastAsia="宋体" w:cs="Times New Roman"/>
                <w:color w:val="auto"/>
                <w:lang w:eastAsia="zh-CN"/>
              </w:rPr>
              <w:t>，产生速率为</w:t>
            </w:r>
            <w:r>
              <w:rPr>
                <w:rFonts w:hint="eastAsia" w:eastAsia="宋体" w:cs="Times New Roman"/>
                <w:color w:val="auto"/>
                <w:lang w:val="en-US" w:eastAsia="zh-CN"/>
              </w:rPr>
              <w:t>5.3</w:t>
            </w:r>
            <w:r>
              <w:rPr>
                <w:rFonts w:hint="default" w:ascii="Times New Roman" w:hAnsi="Times New Roman" w:eastAsia="宋体" w:cs="Times New Roman"/>
                <w:color w:val="auto"/>
                <w:lang w:val="en-US" w:eastAsia="zh-CN"/>
              </w:rPr>
              <w:t>kg/h</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企业采取在</w:t>
            </w:r>
            <w:r>
              <w:rPr>
                <w:rFonts w:hint="eastAsia" w:eastAsia="宋体" w:cs="Times New Roman"/>
                <w:color w:val="auto"/>
                <w:lang w:eastAsia="zh-CN"/>
              </w:rPr>
              <w:t>原料库和成品库存车间</w:t>
            </w:r>
            <w:r>
              <w:rPr>
                <w:rFonts w:hint="default" w:ascii="Times New Roman" w:hAnsi="Times New Roman" w:eastAsia="宋体" w:cs="Times New Roman"/>
                <w:color w:val="auto"/>
                <w:lang w:eastAsia="zh-CN"/>
              </w:rPr>
              <w:t>中</w:t>
            </w:r>
            <w:r>
              <w:rPr>
                <w:rFonts w:hint="eastAsia" w:eastAsia="宋体" w:cs="Times New Roman"/>
                <w:color w:val="auto"/>
                <w:lang w:eastAsia="zh-CN"/>
              </w:rPr>
              <w:t>设置</w:t>
            </w:r>
            <w:r>
              <w:rPr>
                <w:rFonts w:hint="eastAsia" w:ascii="Times New Roman" w:hAnsi="Times New Roman" w:eastAsia="宋体" w:cs="Times New Roman"/>
                <w:color w:val="auto"/>
                <w:lang w:eastAsia="zh-CN"/>
              </w:rPr>
              <w:t>喷淋</w:t>
            </w:r>
            <w:r>
              <w:rPr>
                <w:rFonts w:hint="default" w:ascii="Times New Roman" w:hAnsi="Times New Roman" w:eastAsia="宋体" w:cs="Times New Roman"/>
                <w:color w:val="auto"/>
              </w:rPr>
              <w:t>装置</w:t>
            </w:r>
            <w:r>
              <w:rPr>
                <w:rFonts w:hint="default" w:ascii="Times New Roman" w:hAnsi="Times New Roman" w:eastAsia="宋体" w:cs="Times New Roman"/>
                <w:color w:val="auto"/>
                <w:lang w:val="en-US" w:eastAsia="zh-CN"/>
              </w:rPr>
              <w:t>对物料喷淋降尘、厂区道路硬化并洒水、</w:t>
            </w:r>
            <w:r>
              <w:rPr>
                <w:rFonts w:hint="default" w:ascii="Times New Roman" w:hAnsi="Times New Roman" w:eastAsia="宋体" w:cs="Times New Roman"/>
                <w:color w:val="auto"/>
                <w:lang w:eastAsia="zh-CN"/>
              </w:rPr>
              <w:t>厂区出入口设车辆冲洗系统</w:t>
            </w:r>
            <w:r>
              <w:rPr>
                <w:rFonts w:hint="default" w:ascii="Times New Roman" w:hAnsi="Times New Roman" w:eastAsia="宋体" w:cs="Times New Roman"/>
                <w:color w:val="auto"/>
                <w:lang w:val="en-US" w:eastAsia="zh-CN"/>
              </w:rPr>
              <w:t>等降尘措施</w:t>
            </w:r>
            <w:r>
              <w:rPr>
                <w:rFonts w:hint="default" w:ascii="Times New Roman" w:hAnsi="Times New Roman" w:eastAsia="宋体" w:cs="Times New Roman"/>
                <w:color w:val="auto"/>
                <w:lang w:eastAsia="zh-CN"/>
              </w:rPr>
              <w:t>，同时</w:t>
            </w:r>
            <w:r>
              <w:rPr>
                <w:rFonts w:hint="default" w:ascii="Times New Roman" w:hAnsi="Times New Roman" w:eastAsia="宋体" w:cs="Times New Roman"/>
                <w:color w:val="auto"/>
              </w:rPr>
              <w:t>项目</w:t>
            </w:r>
            <w:r>
              <w:rPr>
                <w:rFonts w:hint="eastAsia" w:eastAsia="宋体" w:cs="Times New Roman"/>
                <w:color w:val="auto"/>
                <w:lang w:eastAsia="zh-CN"/>
              </w:rPr>
              <w:t>原料库和成品库存车间</w:t>
            </w:r>
            <w:r>
              <w:rPr>
                <w:rFonts w:hint="default" w:ascii="Times New Roman" w:hAnsi="Times New Roman" w:eastAsia="宋体" w:cs="Times New Roman"/>
                <w:color w:val="auto"/>
                <w:lang w:eastAsia="zh-CN"/>
              </w:rPr>
              <w:t>均采用封闭式钢结构，对颗粒物</w:t>
            </w:r>
            <w:r>
              <w:rPr>
                <w:rFonts w:hint="default" w:ascii="Times New Roman" w:hAnsi="Times New Roman" w:eastAsia="宋体" w:cs="Times New Roman"/>
                <w:color w:val="auto"/>
              </w:rPr>
              <w:t>向外环境</w:t>
            </w:r>
            <w:r>
              <w:rPr>
                <w:rFonts w:hint="default" w:ascii="Times New Roman" w:hAnsi="Times New Roman" w:eastAsia="宋体" w:cs="Times New Roman"/>
                <w:color w:val="auto"/>
                <w:lang w:eastAsia="zh-CN"/>
              </w:rPr>
              <w:t>逸散过程起到阻隔作用，无组织颗粒物综合</w:t>
            </w:r>
            <w:r>
              <w:rPr>
                <w:rFonts w:hint="default" w:ascii="Times New Roman" w:hAnsi="Times New Roman" w:eastAsia="宋体" w:cs="Times New Roman"/>
                <w:color w:val="auto"/>
              </w:rPr>
              <w:t>排放</w:t>
            </w:r>
            <w:r>
              <w:rPr>
                <w:rFonts w:hint="default" w:ascii="Times New Roman" w:hAnsi="Times New Roman" w:eastAsia="宋体" w:cs="Times New Roman"/>
                <w:color w:val="auto"/>
                <w:lang w:eastAsia="zh-CN"/>
              </w:rPr>
              <w:t>量可减少</w:t>
            </w:r>
            <w:r>
              <w:rPr>
                <w:rFonts w:hint="eastAsia" w:eastAsia="宋体" w:cs="Times New Roman"/>
                <w:color w:val="auto"/>
                <w:lang w:val="en-US" w:eastAsia="zh-CN"/>
              </w:rPr>
              <w:t>90</w:t>
            </w:r>
            <w:r>
              <w:rPr>
                <w:rFonts w:hint="default" w:ascii="Times New Roman" w:hAnsi="Times New Roman" w:eastAsia="宋体" w:cs="Times New Roman"/>
                <w:color w:val="auto"/>
                <w:lang w:val="en-US" w:eastAsia="zh-CN"/>
              </w:rPr>
              <w:t>%。即</w:t>
            </w:r>
            <w:r>
              <w:rPr>
                <w:rFonts w:hint="eastAsia" w:eastAsia="宋体" w:cs="Times New Roman"/>
                <w:color w:val="auto"/>
                <w:lang w:eastAsia="zh-CN"/>
              </w:rPr>
              <w:t>原料库和成品库存车间</w:t>
            </w:r>
            <w:r>
              <w:rPr>
                <w:rFonts w:hint="default" w:ascii="Times New Roman" w:hAnsi="Times New Roman" w:eastAsia="宋体" w:cs="Times New Roman"/>
                <w:color w:val="auto"/>
                <w:lang w:val="en-US" w:eastAsia="zh-CN"/>
              </w:rPr>
              <w:t>颗粒物无组织排放量为</w:t>
            </w:r>
            <w:r>
              <w:rPr>
                <w:rFonts w:hint="eastAsia" w:eastAsia="宋体" w:cs="Times New Roman"/>
                <w:color w:val="auto"/>
                <w:lang w:val="en-US" w:eastAsia="zh-CN"/>
              </w:rPr>
              <w:t>0.8</w:t>
            </w:r>
            <w:r>
              <w:rPr>
                <w:rFonts w:hint="default" w:ascii="Times New Roman" w:hAnsi="Times New Roman" w:eastAsia="宋体" w:cs="Times New Roman"/>
                <w:color w:val="auto"/>
              </w:rPr>
              <w:t>t/a</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lang w:eastAsia="zh-CN"/>
              </w:rPr>
              <w:t>排放速率为</w:t>
            </w:r>
            <w:r>
              <w:rPr>
                <w:rFonts w:hint="eastAsia" w:eastAsia="宋体" w:cs="Times New Roman"/>
                <w:color w:val="auto"/>
                <w:lang w:val="en-US" w:eastAsia="zh-CN"/>
              </w:rPr>
              <w:t>0.53</w:t>
            </w:r>
            <w:r>
              <w:rPr>
                <w:rFonts w:hint="default" w:ascii="Times New Roman" w:hAnsi="Times New Roman" w:eastAsia="宋体" w:cs="Times New Roman"/>
                <w:color w:val="auto"/>
                <w:lang w:val="en-US" w:eastAsia="zh-CN"/>
              </w:rPr>
              <w:t>kg/h</w:t>
            </w:r>
            <w:r>
              <w:rPr>
                <w:rFonts w:hint="default" w:ascii="Times New Roman" w:hAnsi="Times New Roman" w:eastAsia="宋体" w:cs="Times New Roman"/>
                <w:color w:val="auto"/>
                <w:sz w:val="24"/>
                <w:szCs w:val="32"/>
                <w:lang w:val="en-US"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default"/>
                <w:color w:val="auto"/>
              </w:rPr>
              <w:t>破碎</w:t>
            </w:r>
            <w:r>
              <w:rPr>
                <w:rFonts w:hint="eastAsia"/>
                <w:color w:val="auto"/>
                <w:lang w:eastAsia="zh-CN"/>
              </w:rPr>
              <w:t>、筛分工序</w:t>
            </w:r>
            <w:r>
              <w:rPr>
                <w:rFonts w:hint="default"/>
                <w:color w:val="auto"/>
              </w:rPr>
              <w:t>产生的颗粒物</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lang w:eastAsia="zh-CN"/>
              </w:rPr>
              <w:t>本项目生产设备</w:t>
            </w:r>
            <w:r>
              <w:rPr>
                <w:rFonts w:hint="default" w:ascii="Times New Roman" w:hAnsi="Times New Roman" w:eastAsia="宋体" w:cs="Times New Roman"/>
                <w:color w:val="auto"/>
                <w:sz w:val="24"/>
                <w:szCs w:val="24"/>
              </w:rPr>
              <w:t>年运行时间为</w:t>
            </w:r>
            <w:r>
              <w:rPr>
                <w:rFonts w:hint="eastAsia" w:cs="Times New Roman"/>
                <w:color w:val="auto"/>
                <w:sz w:val="24"/>
                <w:szCs w:val="24"/>
                <w:lang w:val="en-US" w:eastAsia="zh-CN"/>
              </w:rPr>
              <w:t>1500</w:t>
            </w:r>
            <w:r>
              <w:rPr>
                <w:rFonts w:hint="default" w:ascii="Times New Roman" w:hAnsi="Times New Roman" w:eastAsia="宋体" w:cs="Times New Roman"/>
                <w:color w:val="auto"/>
                <w:sz w:val="24"/>
                <w:szCs w:val="24"/>
              </w:rPr>
              <w:t>h（</w:t>
            </w:r>
            <w:r>
              <w:rPr>
                <w:rFonts w:hint="eastAsia" w:cs="Times New Roman"/>
                <w:color w:val="auto"/>
                <w:sz w:val="24"/>
                <w:szCs w:val="24"/>
                <w:lang w:val="en-US" w:eastAsia="zh-CN"/>
              </w:rPr>
              <w:t>15</w:t>
            </w:r>
            <w:r>
              <w:rPr>
                <w:rFonts w:hint="eastAsia" w:eastAsia="宋体" w:cs="Times New Roman"/>
                <w:color w:val="auto"/>
                <w:sz w:val="24"/>
                <w:szCs w:val="24"/>
                <w:lang w:val="en-US" w:eastAsia="zh-CN"/>
              </w:rPr>
              <w:t>0</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参照《逸散性工业</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控制技术》产污数据</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粒料加工厂逸散尘的排放因子：</w:t>
            </w:r>
            <w:r>
              <w:rPr>
                <w:rFonts w:hint="eastAsia" w:cs="Times New Roman"/>
                <w:color w:val="auto"/>
                <w:sz w:val="24"/>
                <w:szCs w:val="24"/>
                <w:lang w:eastAsia="zh-CN"/>
              </w:rPr>
              <w:t>二</w:t>
            </w:r>
            <w:r>
              <w:rPr>
                <w:rFonts w:hint="default" w:ascii="Times New Roman" w:hAnsi="Times New Roman" w:eastAsia="宋体" w:cs="Times New Roman"/>
                <w:color w:val="auto"/>
                <w:sz w:val="24"/>
                <w:szCs w:val="24"/>
                <w:lang w:eastAsia="zh-CN"/>
              </w:rPr>
              <w:t>级破碎和筛选</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碎石，系数为</w:t>
            </w:r>
            <w:r>
              <w:rPr>
                <w:rFonts w:hint="eastAsia" w:cs="Times New Roman"/>
                <w:color w:val="auto"/>
                <w:sz w:val="24"/>
                <w:szCs w:val="24"/>
                <w:lang w:val="en-US" w:eastAsia="zh-CN"/>
              </w:rPr>
              <w:t>0.75</w:t>
            </w:r>
            <w:r>
              <w:rPr>
                <w:rFonts w:hint="default" w:ascii="Times New Roman" w:hAnsi="Times New Roman" w:eastAsia="宋体" w:cs="Times New Roman"/>
                <w:color w:val="auto"/>
                <w:sz w:val="24"/>
                <w:szCs w:val="24"/>
                <w:lang w:val="en-US" w:eastAsia="zh-CN"/>
              </w:rPr>
              <w:t>kg/t，故原料总用量</w:t>
            </w:r>
            <w:r>
              <w:rPr>
                <w:rFonts w:hint="eastAsia" w:cs="Times New Roman"/>
                <w:color w:val="auto"/>
                <w:sz w:val="24"/>
                <w:szCs w:val="24"/>
                <w:lang w:val="en-US" w:eastAsia="zh-CN"/>
              </w:rPr>
              <w:t>约</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80</w:t>
            </w:r>
            <w:r>
              <w:rPr>
                <w:rFonts w:hint="default" w:ascii="Times New Roman" w:hAnsi="Times New Roman" w:eastAsia="宋体" w:cs="Times New Roman"/>
                <w:color w:val="auto"/>
                <w:sz w:val="24"/>
                <w:szCs w:val="24"/>
                <w:lang w:val="en-US" w:eastAsia="zh-CN"/>
              </w:rPr>
              <w:t>万</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，则颗粒物产生量为</w:t>
            </w:r>
            <w:r>
              <w:rPr>
                <w:rFonts w:hint="eastAsia" w:cs="Times New Roman"/>
                <w:color w:val="auto"/>
                <w:sz w:val="24"/>
                <w:szCs w:val="24"/>
                <w:lang w:val="en-US" w:eastAsia="zh-CN"/>
              </w:rPr>
              <w:t>600</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4"/>
                <w:sz w:val="24"/>
                <w:szCs w:val="24"/>
              </w:rPr>
              <w:t>本项目除尘器采用</w:t>
            </w:r>
            <w:r>
              <w:rPr>
                <w:rFonts w:hint="eastAsia" w:cs="Times New Roman"/>
                <w:color w:val="auto"/>
                <w:kern w:val="24"/>
                <w:sz w:val="24"/>
                <w:szCs w:val="24"/>
                <w:lang w:eastAsia="zh-CN"/>
              </w:rPr>
              <w:t>高效脉冲袋式除尘器</w:t>
            </w:r>
            <w:r>
              <w:rPr>
                <w:rFonts w:hint="default" w:ascii="Times New Roman" w:hAnsi="Times New Roman" w:eastAsia="宋体" w:cs="Times New Roman"/>
                <w:color w:val="auto"/>
                <w:kern w:val="24"/>
                <w:sz w:val="24"/>
                <w:szCs w:val="24"/>
              </w:rPr>
              <w:t>，</w:t>
            </w:r>
            <w:r>
              <w:rPr>
                <w:rFonts w:hint="default" w:ascii="Times New Roman" w:hAnsi="Times New Roman" w:eastAsia="宋体" w:cs="Times New Roman"/>
                <w:color w:val="auto"/>
                <w:sz w:val="24"/>
                <w:szCs w:val="24"/>
                <w:lang w:eastAsia="zh-CN"/>
              </w:rPr>
              <w:t>并在破碎机和</w:t>
            </w:r>
            <w:r>
              <w:rPr>
                <w:rFonts w:hint="default" w:ascii="Times New Roman" w:hAnsi="Times New Roman" w:eastAsia="宋体" w:cs="Times New Roman"/>
                <w:color w:val="auto"/>
                <w:sz w:val="24"/>
                <w:szCs w:val="24"/>
              </w:rPr>
              <w:t>筛分机进</w:t>
            </w:r>
            <w:r>
              <w:rPr>
                <w:rFonts w:hint="eastAsia" w:ascii="Times New Roman" w:hAnsi="Times New Roman" w:eastAsia="宋体" w:cs="Times New Roman"/>
                <w:color w:val="auto"/>
                <w:sz w:val="24"/>
                <w:szCs w:val="24"/>
                <w:lang w:eastAsia="zh-CN"/>
              </w:rPr>
              <w:t>出</w:t>
            </w:r>
            <w:r>
              <w:rPr>
                <w:rFonts w:hint="default" w:ascii="Times New Roman" w:hAnsi="Times New Roman" w:eastAsia="宋体" w:cs="Times New Roman"/>
                <w:color w:val="auto"/>
                <w:sz w:val="24"/>
                <w:szCs w:val="24"/>
              </w:rPr>
              <w:t>料口均设</w:t>
            </w:r>
            <w:r>
              <w:rPr>
                <w:rFonts w:hint="default" w:ascii="Times New Roman" w:hAnsi="Times New Roman" w:eastAsia="宋体" w:cs="Times New Roman"/>
                <w:color w:val="auto"/>
                <w:sz w:val="24"/>
                <w:szCs w:val="24"/>
                <w:lang w:eastAsia="zh-CN"/>
              </w:rPr>
              <w:t>集尘罩</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集气罩与产尘点形成密闭空间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4"/>
                <w:sz w:val="24"/>
                <w:szCs w:val="24"/>
              </w:rPr>
              <w:t>风机风量为</w:t>
            </w:r>
            <w:r>
              <w:rPr>
                <w:rFonts w:hint="eastAsia" w:cs="Times New Roman"/>
                <w:color w:val="auto"/>
                <w:kern w:val="24"/>
                <w:sz w:val="24"/>
                <w:szCs w:val="24"/>
                <w:lang w:val="en-US" w:eastAsia="zh-CN"/>
              </w:rPr>
              <w:t>30000</w:t>
            </w:r>
            <w:r>
              <w:rPr>
                <w:rFonts w:hint="default" w:ascii="Times New Roman" w:hAnsi="Times New Roman" w:eastAsia="宋体" w:cs="Times New Roman"/>
                <w:color w:val="auto"/>
                <w:kern w:val="24"/>
                <w:sz w:val="24"/>
                <w:szCs w:val="24"/>
              </w:rPr>
              <w:t>m³/h，</w:t>
            </w:r>
            <w:r>
              <w:rPr>
                <w:rFonts w:hint="default" w:ascii="Times New Roman" w:hAnsi="Times New Roman" w:eastAsia="宋体" w:cs="Times New Roman"/>
                <w:color w:val="auto"/>
                <w:kern w:val="24"/>
                <w:sz w:val="24"/>
                <w:szCs w:val="24"/>
                <w:highlight w:val="none"/>
                <w:lang w:eastAsia="zh-CN"/>
              </w:rPr>
              <w:t>则</w:t>
            </w:r>
            <w:r>
              <w:rPr>
                <w:rFonts w:hint="default" w:ascii="Times New Roman" w:hAnsi="Times New Roman" w:eastAsia="宋体" w:cs="Times New Roman"/>
                <w:color w:val="auto"/>
                <w:sz w:val="24"/>
                <w:szCs w:val="24"/>
                <w:lang w:eastAsia="zh-CN"/>
              </w:rPr>
              <w:t>产生</w:t>
            </w:r>
            <w:r>
              <w:rPr>
                <w:rFonts w:hint="eastAsia" w:ascii="Times New Roman" w:hAnsi="Times New Roman" w:cs="Times New Roman"/>
                <w:color w:val="auto"/>
                <w:sz w:val="24"/>
                <w:szCs w:val="24"/>
                <w:lang w:eastAsia="zh-CN"/>
              </w:rPr>
              <w:t>浓度</w:t>
            </w:r>
            <w:r>
              <w:rPr>
                <w:rFonts w:hint="default" w:ascii="Times New Roman" w:hAnsi="Times New Roman" w:eastAsia="宋体" w:cs="Times New Roman"/>
                <w:color w:val="auto"/>
                <w:sz w:val="24"/>
                <w:szCs w:val="24"/>
                <w:lang w:eastAsia="zh-CN"/>
              </w:rPr>
              <w:t>为</w:t>
            </w:r>
            <w:bookmarkStart w:id="5" w:name="_GoBack"/>
            <w:bookmarkEnd w:id="5"/>
            <w:r>
              <w:rPr>
                <w:rFonts w:hint="eastAsia" w:cs="Times New Roman"/>
                <w:color w:val="auto"/>
                <w:spacing w:val="0"/>
                <w:sz w:val="24"/>
                <w:szCs w:val="24"/>
                <w:lang w:val="en-US" w:eastAsia="zh-CN"/>
              </w:rPr>
              <w:t>13333.33</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eastAsia" w:ascii="Times New Roman" w:hAnsi="Times New Roman" w:eastAsia="宋体" w:cs="Times New Roman"/>
                <w:color w:val="auto"/>
                <w:kern w:val="24"/>
                <w:sz w:val="24"/>
                <w:szCs w:val="24"/>
                <w:lang w:eastAsia="zh-CN"/>
              </w:rPr>
              <w:t>，</w:t>
            </w:r>
            <w:r>
              <w:rPr>
                <w:rFonts w:hint="default" w:ascii="Times New Roman" w:hAnsi="Times New Roman" w:eastAsia="宋体" w:cs="Times New Roman"/>
                <w:color w:val="auto"/>
                <w:kern w:val="24"/>
                <w:sz w:val="24"/>
                <w:szCs w:val="24"/>
              </w:rPr>
              <w:t>处理效率为99</w:t>
            </w:r>
            <w:r>
              <w:rPr>
                <w:rFonts w:hint="eastAsia" w:cs="Times New Roman"/>
                <w:color w:val="auto"/>
                <w:kern w:val="24"/>
                <w:sz w:val="24"/>
                <w:szCs w:val="24"/>
                <w:lang w:val="en-US" w:eastAsia="zh-CN"/>
              </w:rPr>
              <w:t>.8</w:t>
            </w:r>
            <w:r>
              <w:rPr>
                <w:rFonts w:hint="default" w:ascii="Times New Roman" w:hAnsi="Times New Roman" w:eastAsia="宋体" w:cs="Times New Roman"/>
                <w:color w:val="auto"/>
                <w:kern w:val="24"/>
                <w:sz w:val="24"/>
                <w:szCs w:val="24"/>
              </w:rPr>
              <w:t>%，</w:t>
            </w:r>
            <w:r>
              <w:rPr>
                <w:rFonts w:hint="default" w:ascii="Times New Roman" w:hAnsi="Times New Roman" w:eastAsia="宋体" w:cs="Times New Roman"/>
                <w:color w:val="auto"/>
                <w:sz w:val="24"/>
                <w:szCs w:val="24"/>
                <w:lang w:eastAsia="zh-CN"/>
              </w:rPr>
              <w:t>破碎、筛分</w:t>
            </w:r>
            <w:r>
              <w:rPr>
                <w:rFonts w:hint="default" w:ascii="Times New Roman" w:hAnsi="Times New Roman" w:eastAsia="宋体" w:cs="Times New Roman"/>
                <w:color w:val="auto"/>
                <w:sz w:val="24"/>
                <w:szCs w:val="24"/>
              </w:rPr>
              <w:t>过程</w:t>
            </w:r>
            <w:r>
              <w:rPr>
                <w:rFonts w:hint="default" w:ascii="Times New Roman" w:hAnsi="Times New Roman" w:eastAsia="宋体" w:cs="Times New Roman"/>
                <w:color w:val="auto"/>
                <w:kern w:val="24"/>
                <w:sz w:val="24"/>
                <w:szCs w:val="24"/>
              </w:rPr>
              <w:t>产生的颗粒物见表</w:t>
            </w:r>
            <w:r>
              <w:rPr>
                <w:rFonts w:hint="eastAsia" w:cs="Times New Roman"/>
                <w:color w:val="auto"/>
                <w:kern w:val="24"/>
                <w:sz w:val="24"/>
                <w:szCs w:val="24"/>
                <w:lang w:val="en-US" w:eastAsia="zh-CN"/>
              </w:rPr>
              <w:t>4</w:t>
            </w:r>
            <w:r>
              <w:rPr>
                <w:rFonts w:hint="default" w:ascii="Times New Roman" w:hAnsi="Times New Roman" w:eastAsia="宋体" w:cs="Times New Roman"/>
                <w:color w:val="auto"/>
                <w:kern w:val="24"/>
                <w:sz w:val="24"/>
                <w:szCs w:val="24"/>
                <w:lang w:val="en-US" w:eastAsia="zh-CN"/>
              </w:rPr>
              <w:t>-1</w:t>
            </w:r>
            <w:r>
              <w:rPr>
                <w:rFonts w:hint="default" w:ascii="Times New Roman" w:hAnsi="Times New Roman" w:eastAsia="宋体" w:cs="Times New Roman"/>
                <w:color w:val="auto"/>
                <w:kern w:val="24"/>
                <w:sz w:val="24"/>
                <w:szCs w:val="24"/>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表</w:t>
            </w:r>
            <w:r>
              <w:rPr>
                <w:rFonts w:hint="eastAsia" w:cs="Times New Roman"/>
                <w:b/>
                <w:bCs/>
                <w:color w:val="auto"/>
                <w:sz w:val="21"/>
                <w:szCs w:val="21"/>
                <w:lang w:val="en-US" w:eastAsia="zh-CN"/>
              </w:rPr>
              <w:t>4-1</w:t>
            </w:r>
            <w:r>
              <w:rPr>
                <w:rFonts w:hint="eastAsia" w:eastAsia="宋体"/>
                <w:b/>
                <w:bCs/>
                <w:color w:val="auto"/>
                <w:sz w:val="21"/>
                <w:szCs w:val="21"/>
                <w:lang w:eastAsia="zh-CN"/>
              </w:rPr>
              <w:t>破碎、筛分</w:t>
            </w:r>
            <w:r>
              <w:rPr>
                <w:rFonts w:hint="eastAsia" w:cs="Times New Roman"/>
                <w:b/>
                <w:bCs/>
                <w:color w:val="auto"/>
                <w:sz w:val="21"/>
                <w:szCs w:val="21"/>
                <w:lang w:val="en-US" w:eastAsia="zh-CN"/>
              </w:rPr>
              <w:t>工序</w:t>
            </w:r>
            <w:r>
              <w:rPr>
                <w:rFonts w:hint="default" w:ascii="Times New Roman" w:hAnsi="Times New Roman" w:cs="Times New Roman"/>
                <w:b/>
                <w:bCs/>
                <w:color w:val="auto"/>
                <w:sz w:val="21"/>
                <w:szCs w:val="21"/>
                <w:lang w:val="en-US" w:eastAsia="zh-CN"/>
              </w:rPr>
              <w:t>产生的颗粒物排放情况表</w:t>
            </w:r>
          </w:p>
          <w:tbl>
            <w:tblPr>
              <w:tblStyle w:val="16"/>
              <w:tblW w:w="7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582"/>
              <w:gridCol w:w="616"/>
              <w:gridCol w:w="734"/>
              <w:gridCol w:w="648"/>
              <w:gridCol w:w="763"/>
              <w:gridCol w:w="720"/>
              <w:gridCol w:w="719"/>
              <w:gridCol w:w="933"/>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782"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w:t>
                  </w:r>
                  <w:r>
                    <w:rPr>
                      <w:rFonts w:hint="eastAsia" w:ascii="Times New Roman" w:cs="Times New Roman"/>
                      <w:color w:val="auto"/>
                      <w:sz w:val="21"/>
                      <w:szCs w:val="21"/>
                      <w:vertAlign w:val="baseline"/>
                      <w:lang w:val="en-US" w:eastAsia="zh-CN"/>
                    </w:rPr>
                    <w:t>工序</w:t>
                  </w:r>
                </w:p>
              </w:tc>
              <w:tc>
                <w:tcPr>
                  <w:tcW w:w="582"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污染因子</w:t>
                  </w:r>
                </w:p>
              </w:tc>
              <w:tc>
                <w:tcPr>
                  <w:tcW w:w="6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运行</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时间</w:t>
                  </w:r>
                  <w:r>
                    <w:rPr>
                      <w:rFonts w:hint="eastAsia" w:cs="Times New Roman"/>
                      <w:color w:val="auto"/>
                      <w:sz w:val="21"/>
                      <w:szCs w:val="21"/>
                      <w:vertAlign w:val="baseline"/>
                      <w:lang w:val="en-US" w:eastAsia="zh-CN"/>
                    </w:rPr>
                    <w:t>h</w:t>
                  </w:r>
                </w:p>
              </w:tc>
              <w:tc>
                <w:tcPr>
                  <w:tcW w:w="73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产生浓度</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64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产生量</w:t>
                  </w:r>
                  <w:r>
                    <w:rPr>
                      <w:rFonts w:hint="default" w:ascii="Times New Roman" w:hAnsi="Times New Roman" w:cs="Times New Roman"/>
                      <w:color w:val="auto"/>
                      <w:sz w:val="21"/>
                      <w:szCs w:val="21"/>
                      <w:highlight w:val="none"/>
                    </w:rPr>
                    <w:t>t/a</w:t>
                  </w:r>
                </w:p>
              </w:tc>
              <w:tc>
                <w:tcPr>
                  <w:tcW w:w="76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rPr>
                    <w:t>风机风量m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72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处理</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rPr>
                    <w:t>效率</w:t>
                  </w:r>
                  <w:r>
                    <w:rPr>
                      <w:rFonts w:hint="default" w:ascii="Times New Roman" w:hAnsi="Times New Roman" w:cs="Times New Roman"/>
                      <w:color w:val="auto"/>
                      <w:sz w:val="21"/>
                      <w:szCs w:val="21"/>
                      <w:vertAlign w:val="baseline"/>
                      <w:lang w:val="en-US" w:eastAsia="zh-CN"/>
                    </w:rPr>
                    <w:t>%</w:t>
                  </w:r>
                </w:p>
              </w:tc>
              <w:tc>
                <w:tcPr>
                  <w:tcW w:w="71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rPr>
                    <w:t>排放量t/a</w:t>
                  </w:r>
                </w:p>
              </w:tc>
              <w:tc>
                <w:tcPr>
                  <w:tcW w:w="93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rPr>
                    <w:t>排放浓度mg/m</w:t>
                  </w:r>
                  <w:r>
                    <w:rPr>
                      <w:rFonts w:hint="default" w:ascii="Times New Roman" w:hAnsi="Times New Roman" w:cs="Times New Roman"/>
                      <w:color w:val="auto"/>
                      <w:sz w:val="21"/>
                      <w:szCs w:val="21"/>
                      <w:highlight w:val="none"/>
                      <w:vertAlign w:val="superscript"/>
                    </w:rPr>
                    <w:t>3</w:t>
                  </w:r>
                </w:p>
              </w:tc>
              <w:tc>
                <w:tcPr>
                  <w:tcW w:w="10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排放速率</w:t>
                  </w:r>
                  <w:r>
                    <w:rPr>
                      <w:rFonts w:hint="eastAsia" w:cs="Times New Roman"/>
                      <w:color w:val="auto"/>
                      <w:sz w:val="21"/>
                      <w:szCs w:val="21"/>
                      <w:highlight w:val="none"/>
                      <w:lang w:val="en-US" w:eastAsia="zh-CN"/>
                    </w:rPr>
                    <w:t>kg</w:t>
                  </w:r>
                  <w:r>
                    <w:rPr>
                      <w:rFonts w:hint="default" w:ascii="Times New Roman" w:hAnsi="Times New Roman" w:cs="Times New Roman"/>
                      <w:color w:val="auto"/>
                      <w:sz w:val="21"/>
                      <w:szCs w:val="21"/>
                      <w:highlight w:val="no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782"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eastAsia="宋体"/>
                      <w:color w:val="auto"/>
                      <w:sz w:val="21"/>
                      <w:szCs w:val="21"/>
                      <w:lang w:eastAsia="zh-CN"/>
                    </w:rPr>
                    <w:t>破碎、筛分</w:t>
                  </w:r>
                </w:p>
              </w:tc>
              <w:tc>
                <w:tcPr>
                  <w:tcW w:w="582"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tc>
              <w:tc>
                <w:tcPr>
                  <w:tcW w:w="616"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cs="Times New Roman"/>
                      <w:color w:val="auto"/>
                      <w:sz w:val="21"/>
                      <w:szCs w:val="21"/>
                      <w:vertAlign w:val="baseline"/>
                      <w:lang w:val="en-US" w:eastAsia="zh-CN"/>
                    </w:rPr>
                    <w:t>1500</w:t>
                  </w:r>
                </w:p>
              </w:tc>
              <w:tc>
                <w:tcPr>
                  <w:tcW w:w="734"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cs="Times New Roman"/>
                      <w:color w:val="auto"/>
                      <w:sz w:val="21"/>
                      <w:szCs w:val="21"/>
                      <w:vertAlign w:val="baseline"/>
                      <w:lang w:val="en-US" w:eastAsia="zh-CN"/>
                    </w:rPr>
                    <w:t>13333.33</w:t>
                  </w:r>
                </w:p>
              </w:tc>
              <w:tc>
                <w:tcPr>
                  <w:tcW w:w="648"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cs="Times New Roman"/>
                      <w:color w:val="auto"/>
                      <w:sz w:val="21"/>
                      <w:szCs w:val="21"/>
                      <w:vertAlign w:val="baseline"/>
                      <w:lang w:val="en-US" w:eastAsia="zh-CN"/>
                    </w:rPr>
                    <w:t>600</w:t>
                  </w:r>
                </w:p>
              </w:tc>
              <w:tc>
                <w:tcPr>
                  <w:tcW w:w="763"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cs="Times New Roman"/>
                      <w:color w:val="auto"/>
                      <w:sz w:val="21"/>
                      <w:szCs w:val="21"/>
                      <w:vertAlign w:val="baseline"/>
                      <w:lang w:val="en-US" w:eastAsia="zh-CN"/>
                    </w:rPr>
                    <w:t>30000</w:t>
                  </w:r>
                </w:p>
              </w:tc>
              <w:tc>
                <w:tcPr>
                  <w:tcW w:w="720"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99</w:t>
                  </w:r>
                  <w:r>
                    <w:rPr>
                      <w:rFonts w:hint="eastAsia" w:ascii="Times New Roman" w:cs="Times New Roman"/>
                      <w:color w:val="auto"/>
                      <w:sz w:val="21"/>
                      <w:szCs w:val="21"/>
                      <w:vertAlign w:val="baseline"/>
                      <w:lang w:val="en-US" w:eastAsia="zh-CN"/>
                    </w:rPr>
                    <w:t>.8</w:t>
                  </w:r>
                </w:p>
              </w:tc>
              <w:tc>
                <w:tcPr>
                  <w:tcW w:w="719"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cs="Times New Roman"/>
                      <w:color w:val="auto"/>
                      <w:sz w:val="21"/>
                      <w:szCs w:val="21"/>
                      <w:vertAlign w:val="baseline"/>
                      <w:lang w:val="en-US" w:eastAsia="zh-CN"/>
                    </w:rPr>
                    <w:t>1.2</w:t>
                  </w:r>
                </w:p>
              </w:tc>
              <w:tc>
                <w:tcPr>
                  <w:tcW w:w="933"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cs="Times New Roman"/>
                      <w:color w:val="auto"/>
                      <w:sz w:val="21"/>
                      <w:szCs w:val="21"/>
                      <w:vertAlign w:val="baseline"/>
                      <w:lang w:val="en-US" w:eastAsia="zh-CN"/>
                    </w:rPr>
                    <w:t>26.67</w:t>
                  </w:r>
                </w:p>
              </w:tc>
              <w:tc>
                <w:tcPr>
                  <w:tcW w:w="1016" w:type="dxa"/>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cs="Times New Roman"/>
                      <w:color w:val="auto"/>
                      <w:sz w:val="21"/>
                      <w:szCs w:val="21"/>
                      <w:vertAlign w:val="baseline"/>
                      <w:lang w:val="en-US" w:eastAsia="zh-CN"/>
                    </w:rPr>
                  </w:pPr>
                  <w:r>
                    <w:rPr>
                      <w:rFonts w:hint="eastAsia" w:ascii="Times New Roman" w:cs="Times New Roman"/>
                      <w:color w:val="auto"/>
                      <w:sz w:val="21"/>
                      <w:szCs w:val="21"/>
                      <w:vertAlign w:val="baseline"/>
                      <w:lang w:val="en-US" w:eastAsia="zh-CN"/>
                    </w:rPr>
                    <w:t>0.8</w:t>
                  </w:r>
                </w:p>
              </w:tc>
            </w:tr>
          </w:tbl>
          <w:p>
            <w:pPr>
              <w:keepNext w:val="0"/>
              <w:keepLines w:val="0"/>
              <w:pageBreakBefore w:val="0"/>
              <w:widowControl w:val="0"/>
              <w:kinsoku/>
              <w:wordWrap/>
              <w:overflowPunct/>
              <w:topLinePunct w:val="0"/>
              <w:autoSpaceDE/>
              <w:autoSpaceDN/>
              <w:bidi w:val="0"/>
              <w:spacing w:line="500" w:lineRule="exact"/>
              <w:ind w:firstLine="480"/>
              <w:jc w:val="left"/>
              <w:textAlignment w:val="auto"/>
              <w:rPr>
                <w:rFonts w:hint="default" w:ascii="Times New Roman" w:hAnsi="Times New Roman" w:cs="Times New Roman"/>
                <w:color w:val="auto"/>
                <w:kern w:val="24"/>
                <w:sz w:val="24"/>
                <w:szCs w:val="24"/>
                <w:highlight w:val="none"/>
                <w:lang w:val="en-US" w:eastAsia="zh-CN"/>
              </w:rPr>
            </w:pPr>
            <w:r>
              <w:rPr>
                <w:rFonts w:hint="eastAsia" w:cs="Times New Roman"/>
                <w:color w:val="auto"/>
                <w:spacing w:val="0"/>
                <w:sz w:val="24"/>
                <w:szCs w:val="24"/>
                <w:lang w:eastAsia="zh-CN"/>
              </w:rPr>
              <w:t>由上表可知，</w:t>
            </w:r>
            <w:r>
              <w:rPr>
                <w:rFonts w:hint="eastAsia" w:eastAsia="宋体"/>
                <w:color w:val="auto"/>
                <w:sz w:val="24"/>
                <w:szCs w:val="24"/>
                <w:lang w:eastAsia="zh-CN"/>
              </w:rPr>
              <w:t>破碎、筛分</w:t>
            </w:r>
            <w:r>
              <w:rPr>
                <w:rFonts w:hint="eastAsia"/>
                <w:color w:val="auto"/>
                <w:sz w:val="24"/>
                <w:szCs w:val="24"/>
              </w:rPr>
              <w:t>过程</w:t>
            </w:r>
            <w:r>
              <w:rPr>
                <w:color w:val="auto"/>
                <w:kern w:val="24"/>
                <w:sz w:val="24"/>
                <w:szCs w:val="24"/>
              </w:rPr>
              <w:t>产生的颗粒物</w:t>
            </w:r>
            <w:r>
              <w:rPr>
                <w:rFonts w:hint="eastAsia" w:cs="Times New Roman"/>
                <w:color w:val="auto"/>
                <w:spacing w:val="0"/>
                <w:sz w:val="24"/>
                <w:szCs w:val="24"/>
                <w:lang w:eastAsia="zh-CN"/>
              </w:rPr>
              <w:t>经除尘器处理后排放浓度为</w:t>
            </w:r>
            <w:r>
              <w:rPr>
                <w:rFonts w:hint="eastAsia" w:cs="Times New Roman"/>
                <w:color w:val="auto"/>
                <w:spacing w:val="0"/>
                <w:sz w:val="24"/>
                <w:szCs w:val="24"/>
                <w:lang w:val="en-US" w:eastAsia="zh-CN"/>
              </w:rPr>
              <w:t>26.67</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kern w:val="24"/>
                <w:sz w:val="24"/>
                <w:szCs w:val="24"/>
              </w:rPr>
              <w:t>，</w:t>
            </w:r>
            <w:r>
              <w:rPr>
                <w:rFonts w:hint="eastAsia" w:cs="Times New Roman"/>
                <w:color w:val="auto"/>
                <w:kern w:val="24"/>
                <w:sz w:val="24"/>
                <w:szCs w:val="24"/>
                <w:lang w:eastAsia="zh-CN"/>
              </w:rPr>
              <w:t>排放量为</w:t>
            </w:r>
            <w:r>
              <w:rPr>
                <w:rFonts w:hint="eastAsia" w:cs="Times New Roman"/>
                <w:color w:val="auto"/>
                <w:kern w:val="24"/>
                <w:sz w:val="24"/>
                <w:szCs w:val="24"/>
                <w:lang w:val="en-US" w:eastAsia="zh-CN"/>
              </w:rPr>
              <w:t>1.2t/a，排放速率为0.8kg/h</w:t>
            </w:r>
            <w:r>
              <w:rPr>
                <w:rFonts w:hint="default" w:ascii="Times New Roman" w:hAnsi="Times New Roman" w:cs="Times New Roman"/>
                <w:color w:val="auto"/>
                <w:kern w:val="24"/>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200"/>
              <w:jc w:val="both"/>
              <w:textAlignment w:val="auto"/>
              <w:rPr>
                <w:rFonts w:hint="eastAsia" w:cs="Times New Roman"/>
                <w:color w:val="auto"/>
                <w:spacing w:val="0"/>
                <w:sz w:val="24"/>
                <w:lang w:eastAsia="zh-CN"/>
              </w:rPr>
            </w:pPr>
            <w:r>
              <w:rPr>
                <w:rFonts w:hint="eastAsia" w:cs="Times New Roman"/>
                <w:color w:val="auto"/>
                <w:spacing w:val="0"/>
                <w:sz w:val="24"/>
                <w:lang w:eastAsia="zh-CN"/>
              </w:rPr>
              <w:t>（</w:t>
            </w:r>
            <w:r>
              <w:rPr>
                <w:rFonts w:hint="eastAsia" w:cs="Times New Roman"/>
                <w:color w:val="auto"/>
                <w:spacing w:val="0"/>
                <w:sz w:val="24"/>
                <w:lang w:val="en-US" w:eastAsia="zh-CN"/>
              </w:rPr>
              <w:t>3</w:t>
            </w:r>
            <w:r>
              <w:rPr>
                <w:rFonts w:hint="eastAsia" w:cs="Times New Roman"/>
                <w:color w:val="auto"/>
                <w:spacing w:val="0"/>
                <w:sz w:val="24"/>
                <w:lang w:eastAsia="zh-CN"/>
              </w:rPr>
              <w:t>）车辆运输产生的颗粒物</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eastAsia"/>
                <w:color w:val="auto"/>
                <w:lang w:eastAsia="zh-CN"/>
              </w:rPr>
            </w:pPr>
            <w:r>
              <w:rPr>
                <w:rFonts w:hint="eastAsia"/>
                <w:color w:val="auto"/>
                <w:lang w:eastAsia="zh-CN"/>
              </w:rPr>
              <w:t>项目运输车辆在行驶过程中产生的扬尘，在道路完全干燥的情况下，按下列经验公式计算：</w:t>
            </w:r>
          </w:p>
          <w:p>
            <w:pPr>
              <w:pStyle w:val="5"/>
              <w:keepNext w:val="0"/>
              <w:keepLines w:val="0"/>
              <w:pageBreakBefore w:val="0"/>
              <w:widowControl w:val="0"/>
              <w:kinsoku/>
              <w:wordWrap/>
              <w:overflowPunct/>
              <w:topLinePunct w:val="0"/>
              <w:autoSpaceDE w:val="0"/>
              <w:autoSpaceDN w:val="0"/>
              <w:bidi w:val="0"/>
              <w:adjustRightInd w:val="0"/>
              <w:snapToGrid w:val="0"/>
              <w:spacing w:line="500" w:lineRule="exact"/>
              <w:ind w:left="0"/>
              <w:textAlignment w:val="auto"/>
              <w:rPr>
                <w:rFonts w:hint="default" w:ascii="Times New Roman" w:hAnsi="Times New Roman" w:cs="Times New Roman"/>
                <w:color w:val="auto"/>
                <w:spacing w:val="6"/>
                <w:sz w:val="24"/>
                <w:lang w:val="en-US" w:eastAsia="zh-CN"/>
              </w:rPr>
            </w:pPr>
            <m:oMathPara>
              <m:oMathParaPr>
                <m:jc m:val="center"/>
              </m:oMathParaPr>
              <m:oMath>
                <m:sSub>
                  <m:sSubPr>
                    <m:ctrlPr>
                      <w:rPr>
                        <w:rFonts w:hint="default" w:ascii="Cambria Math" w:hAnsi="Cambria Math" w:cs="Times New Roman"/>
                        <w:i w:val="0"/>
                        <w:color w:val="auto"/>
                        <w:spacing w:val="6"/>
                        <w:kern w:val="0"/>
                        <w:sz w:val="24"/>
                        <w:szCs w:val="24"/>
                        <w:lang w:val="en-US" w:eastAsia="zh-CN" w:bidi="zh-CN"/>
                      </w:rPr>
                    </m:ctrlPr>
                  </m:sSubPr>
                  <m:e>
                    <m:r>
                      <m:rPr>
                        <m:sty m:val="p"/>
                      </m:rPr>
                      <w:rPr>
                        <w:rFonts w:hint="default" w:ascii="Cambria Math" w:hAnsi="Cambria Math" w:cs="Times New Roman"/>
                        <w:color w:val="auto"/>
                        <w:spacing w:val="6"/>
                        <w:kern w:val="0"/>
                        <w:sz w:val="24"/>
                        <w:szCs w:val="24"/>
                        <w:lang w:val="en-US" w:eastAsia="zh-CN" w:bidi="zh-CN"/>
                      </w:rPr>
                      <m:t>Q</m:t>
                    </m:r>
                    <m:ctrlPr>
                      <w:rPr>
                        <w:rFonts w:hint="default" w:ascii="Cambria Math" w:hAnsi="Cambria Math" w:cs="Times New Roman"/>
                        <w:i w:val="0"/>
                        <w:color w:val="auto"/>
                        <w:spacing w:val="6"/>
                        <w:kern w:val="0"/>
                        <w:sz w:val="24"/>
                        <w:szCs w:val="24"/>
                        <w:lang w:val="en-US" w:eastAsia="zh-CN" w:bidi="zh-CN"/>
                      </w:rPr>
                    </m:ctrlPr>
                  </m:e>
                  <m:sub>
                    <m:r>
                      <m:rPr>
                        <m:sty m:val="p"/>
                      </m:rPr>
                      <w:rPr>
                        <w:rFonts w:hint="default" w:ascii="Cambria Math" w:hAnsi="Cambria Math" w:cs="Times New Roman"/>
                        <w:color w:val="auto"/>
                        <w:spacing w:val="6"/>
                        <w:kern w:val="0"/>
                        <w:sz w:val="24"/>
                        <w:szCs w:val="24"/>
                        <w:lang w:val="en-US" w:eastAsia="zh-CN" w:bidi="zh-CN"/>
                      </w:rPr>
                      <m:t>y</m:t>
                    </m:r>
                    <m:ctrlPr>
                      <w:rPr>
                        <w:rFonts w:hint="default" w:ascii="Cambria Math" w:hAnsi="Cambria Math" w:cs="Times New Roman"/>
                        <w:i w:val="0"/>
                        <w:color w:val="auto"/>
                        <w:spacing w:val="6"/>
                        <w:kern w:val="0"/>
                        <w:sz w:val="24"/>
                        <w:szCs w:val="24"/>
                        <w:lang w:val="en-US" w:eastAsia="zh-CN" w:bidi="zh-CN"/>
                      </w:rPr>
                    </m:ctrlPr>
                  </m:sub>
                </m:sSub>
                <m:r>
                  <m:rPr>
                    <m:sty m:val="p"/>
                  </m:rPr>
                  <w:rPr>
                    <w:rFonts w:hint="default" w:ascii="Cambria Math" w:hAnsi="Cambria Math" w:cs="Times New Roman"/>
                    <w:color w:val="auto"/>
                    <w:spacing w:val="6"/>
                    <w:kern w:val="0"/>
                    <w:sz w:val="24"/>
                    <w:szCs w:val="24"/>
                    <w:lang w:val="en-US" w:eastAsia="zh-CN" w:bidi="zh-CN"/>
                  </w:rPr>
                  <m:t>=0.123</m:t>
                </m:r>
                <m:r>
                  <m:rPr>
                    <m:sty m:val="p"/>
                  </m:rPr>
                  <w:rPr>
                    <w:rFonts w:hint="default" w:ascii="Cambria Math" w:hAnsi="Cambria Math" w:cs="Times New Roman"/>
                    <w:color w:val="auto"/>
                    <w:spacing w:val="6"/>
                    <w:kern w:val="0"/>
                    <w:sz w:val="24"/>
                    <w:szCs w:val="24"/>
                    <w:lang w:val="en-US" w:bidi="zh-CN"/>
                  </w:rPr>
                  <m:t>×(V/5)×</m:t>
                </m:r>
                <m:sSup>
                  <m:sSupPr>
                    <m:ctrlPr>
                      <w:rPr>
                        <w:rFonts w:hint="default" w:ascii="Cambria Math" w:hAnsi="Cambria Math" w:cs="Times New Roman"/>
                        <w:color w:val="auto"/>
                        <w:spacing w:val="6"/>
                        <w:kern w:val="0"/>
                        <w:sz w:val="24"/>
                        <w:szCs w:val="24"/>
                        <w:lang w:val="en-US" w:bidi="zh-CN"/>
                      </w:rPr>
                    </m:ctrlPr>
                  </m:sSupPr>
                  <m:e>
                    <m:r>
                      <m:rPr>
                        <m:sty m:val="p"/>
                      </m:rPr>
                      <w:rPr>
                        <w:rFonts w:hint="default" w:ascii="Cambria Math" w:hAnsi="Cambria Math" w:cs="Times New Roman"/>
                        <w:color w:val="auto"/>
                        <w:spacing w:val="6"/>
                        <w:kern w:val="0"/>
                        <w:sz w:val="24"/>
                        <w:szCs w:val="24"/>
                        <w:lang w:val="en-US" w:bidi="zh-CN"/>
                      </w:rPr>
                      <m:t>(W/6.8)</m:t>
                    </m:r>
                    <m:ctrlPr>
                      <w:rPr>
                        <w:rFonts w:hint="default" w:ascii="Cambria Math" w:hAnsi="Cambria Math" w:cs="Times New Roman"/>
                        <w:color w:val="auto"/>
                        <w:spacing w:val="6"/>
                        <w:kern w:val="0"/>
                        <w:sz w:val="24"/>
                        <w:szCs w:val="24"/>
                        <w:lang w:val="en-US" w:bidi="zh-CN"/>
                      </w:rPr>
                    </m:ctrlPr>
                  </m:e>
                  <m:sup>
                    <m:r>
                      <m:rPr/>
                      <w:rPr>
                        <w:rFonts w:hint="default" w:ascii="Cambria Math" w:hAnsi="Cambria Math" w:cs="Times New Roman"/>
                        <w:color w:val="auto"/>
                        <w:spacing w:val="6"/>
                        <w:kern w:val="0"/>
                        <w:sz w:val="24"/>
                        <w:szCs w:val="24"/>
                        <w:lang w:val="en-US" w:bidi="zh-CN"/>
                      </w:rPr>
                      <m:t>0.85</m:t>
                    </m:r>
                    <m:ctrlPr>
                      <w:rPr>
                        <w:rFonts w:hint="default" w:ascii="Cambria Math" w:hAnsi="Cambria Math" w:cs="Times New Roman"/>
                        <w:color w:val="auto"/>
                        <w:spacing w:val="6"/>
                        <w:kern w:val="0"/>
                        <w:sz w:val="24"/>
                        <w:szCs w:val="24"/>
                        <w:lang w:val="en-US" w:bidi="zh-CN"/>
                      </w:rPr>
                    </m:ctrlPr>
                  </m:sup>
                </m:sSup>
                <m:r>
                  <m:rPr>
                    <m:sty m:val="p"/>
                  </m:rPr>
                  <w:rPr>
                    <w:rFonts w:hint="default" w:ascii="Cambria Math" w:hAnsi="Cambria Math" w:cs="Times New Roman"/>
                    <w:color w:val="auto"/>
                    <w:spacing w:val="6"/>
                    <w:kern w:val="0"/>
                    <w:sz w:val="24"/>
                    <w:szCs w:val="24"/>
                    <w:lang w:val="en-US" w:bidi="zh-CN"/>
                  </w:rPr>
                  <m:t>×</m:t>
                </m:r>
                <m:sSup>
                  <m:sSupPr>
                    <m:ctrlPr>
                      <w:rPr>
                        <w:rFonts w:hint="default" w:ascii="Cambria Math" w:hAnsi="Cambria Math" w:cs="Times New Roman"/>
                        <w:color w:val="auto"/>
                        <w:spacing w:val="6"/>
                        <w:kern w:val="0"/>
                        <w:sz w:val="24"/>
                        <w:szCs w:val="24"/>
                        <w:lang w:val="en-US" w:bidi="zh-CN"/>
                      </w:rPr>
                    </m:ctrlPr>
                  </m:sSupPr>
                  <m:e>
                    <m:r>
                      <m:rPr>
                        <m:sty m:val="p"/>
                      </m:rPr>
                      <w:rPr>
                        <w:rFonts w:hint="default" w:ascii="Cambria Math" w:hAnsi="Cambria Math" w:cs="Times New Roman"/>
                        <w:color w:val="auto"/>
                        <w:spacing w:val="6"/>
                        <w:kern w:val="0"/>
                        <w:sz w:val="24"/>
                        <w:szCs w:val="24"/>
                        <w:lang w:val="en-US" w:bidi="zh-CN"/>
                      </w:rPr>
                      <m:t>(p/0.5)</m:t>
                    </m:r>
                    <m:ctrlPr>
                      <w:rPr>
                        <w:rFonts w:hint="default" w:ascii="Cambria Math" w:hAnsi="Cambria Math" w:cs="Times New Roman"/>
                        <w:color w:val="auto"/>
                        <w:spacing w:val="6"/>
                        <w:kern w:val="0"/>
                        <w:sz w:val="24"/>
                        <w:szCs w:val="24"/>
                        <w:lang w:val="en-US" w:bidi="zh-CN"/>
                      </w:rPr>
                    </m:ctrlPr>
                  </m:e>
                  <m:sup>
                    <m:r>
                      <m:rPr>
                        <m:sty m:val="p"/>
                      </m:rPr>
                      <w:rPr>
                        <w:rFonts w:hint="default" w:ascii="Cambria Math" w:hAnsi="Cambria Math" w:cs="Times New Roman"/>
                        <w:color w:val="auto"/>
                        <w:spacing w:val="6"/>
                        <w:kern w:val="0"/>
                        <w:sz w:val="24"/>
                        <w:szCs w:val="24"/>
                        <w:lang w:val="en-US" w:bidi="zh-CN"/>
                      </w:rPr>
                      <m:t>0.72</m:t>
                    </m:r>
                    <m:ctrlPr>
                      <w:rPr>
                        <w:rFonts w:hint="default" w:ascii="Cambria Math" w:hAnsi="Cambria Math" w:cs="Times New Roman"/>
                        <w:color w:val="auto"/>
                        <w:spacing w:val="6"/>
                        <w:kern w:val="0"/>
                        <w:sz w:val="24"/>
                        <w:szCs w:val="24"/>
                        <w:lang w:val="en-US" w:bidi="zh-CN"/>
                      </w:rPr>
                    </m:ctrlPr>
                  </m:sup>
                </m:sSup>
              </m:oMath>
            </m:oMathPara>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both"/>
              <w:textAlignment w:val="auto"/>
              <w:rPr>
                <w:rFonts w:hint="eastAsia"/>
                <w:color w:val="auto"/>
              </w:rPr>
            </w:pPr>
            <w:r>
              <w:rPr>
                <w:rFonts w:hint="eastAsia"/>
                <w:color w:val="auto"/>
              </w:rPr>
              <w:t>式中：Q</w:t>
            </w:r>
            <w:r>
              <w:rPr>
                <w:rFonts w:hint="eastAsia"/>
                <w:color w:val="auto"/>
                <w:vertAlign w:val="subscript"/>
              </w:rPr>
              <w:t>y</w:t>
            </w:r>
            <w:r>
              <w:rPr>
                <w:rFonts w:hint="eastAsia"/>
                <w:color w:val="auto"/>
              </w:rPr>
              <w:t>——交通运输起尘量，kg/km·辆；</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1200" w:firstLineChars="500"/>
              <w:jc w:val="both"/>
              <w:textAlignment w:val="auto"/>
              <w:rPr>
                <w:rFonts w:hint="eastAsia"/>
                <w:color w:val="auto"/>
              </w:rPr>
            </w:pPr>
            <w:r>
              <w:rPr>
                <w:rFonts w:hint="eastAsia"/>
                <w:color w:val="auto"/>
              </w:rPr>
              <w:t>V——车辆行驶速度，km/h；</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1200" w:firstLineChars="500"/>
              <w:jc w:val="both"/>
              <w:textAlignment w:val="auto"/>
              <w:rPr>
                <w:rFonts w:hint="eastAsia"/>
                <w:color w:val="auto"/>
              </w:rPr>
            </w:pPr>
            <w:r>
              <w:rPr>
                <w:rFonts w:hint="eastAsia"/>
                <w:color w:val="auto"/>
              </w:rPr>
              <w:t>W——汽车载重量，吨/辆；</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1200" w:firstLineChars="500"/>
              <w:jc w:val="both"/>
              <w:textAlignment w:val="auto"/>
              <w:rPr>
                <w:color w:val="auto"/>
              </w:rPr>
            </w:pPr>
            <w:r>
              <w:rPr>
                <w:rFonts w:hint="eastAsia"/>
                <w:color w:val="auto"/>
              </w:rPr>
              <w:t>P——路面状况，以每平米路面灰尘覆盖率表示，kg/m</w:t>
            </w:r>
            <w:r>
              <w:rPr>
                <w:rFonts w:hint="eastAsia"/>
                <w:color w:val="auto"/>
                <w:vertAlign w:val="superscript"/>
              </w:rPr>
              <w:t>2</w:t>
            </w:r>
            <w:r>
              <w:rPr>
                <w:rFonts w:hint="eastAsia"/>
                <w:color w:val="auto"/>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eastAsia"/>
                <w:color w:val="auto"/>
                <w:highlight w:val="none"/>
              </w:rPr>
            </w:pPr>
            <w:r>
              <w:rPr>
                <w:rFonts w:hint="eastAsia"/>
                <w:color w:val="auto"/>
                <w:highlight w:val="none"/>
              </w:rPr>
              <w:t>项目车辆在厂区内行驶距离按</w:t>
            </w:r>
            <w:r>
              <w:rPr>
                <w:rFonts w:hint="eastAsia"/>
                <w:color w:val="auto"/>
                <w:highlight w:val="none"/>
                <w:lang w:val="en-US" w:eastAsia="zh-CN"/>
              </w:rPr>
              <w:t>50</w:t>
            </w:r>
            <w:r>
              <w:rPr>
                <w:rFonts w:hint="eastAsia"/>
                <w:color w:val="auto"/>
                <w:highlight w:val="none"/>
              </w:rPr>
              <w:t>m计，平均每天发空车、重载各</w:t>
            </w:r>
            <w:r>
              <w:rPr>
                <w:rFonts w:hint="eastAsia"/>
                <w:color w:val="auto"/>
                <w:highlight w:val="none"/>
                <w:lang w:val="en-US" w:eastAsia="zh-CN"/>
              </w:rPr>
              <w:t>30</w:t>
            </w:r>
            <w:r>
              <w:rPr>
                <w:rFonts w:hint="eastAsia"/>
                <w:color w:val="auto"/>
                <w:highlight w:val="none"/>
              </w:rPr>
              <w:t>辆·次；空车重约10.0t，重车重约30.0t，以20km/h的速度行驶，对道路路况以0.1kg/m</w:t>
            </w:r>
            <w:r>
              <w:rPr>
                <w:rFonts w:hint="eastAsia"/>
                <w:color w:val="auto"/>
                <w:highlight w:val="none"/>
                <w:vertAlign w:val="superscript"/>
              </w:rPr>
              <w:t>2</w:t>
            </w:r>
            <w:r>
              <w:rPr>
                <w:rFonts w:hint="eastAsia"/>
                <w:color w:val="auto"/>
                <w:highlight w:val="none"/>
              </w:rPr>
              <w:t>计，则经过核算，项目汽车动力起尘量为</w:t>
            </w:r>
            <w:r>
              <w:rPr>
                <w:rFonts w:hint="eastAsia"/>
                <w:color w:val="auto"/>
                <w:highlight w:val="none"/>
                <w:lang w:val="en-US" w:eastAsia="zh-CN"/>
              </w:rPr>
              <w:t>170.91kg</w:t>
            </w:r>
            <w:r>
              <w:rPr>
                <w:rFonts w:hint="eastAsia"/>
                <w:color w:val="auto"/>
                <w:highlight w:val="none"/>
              </w:rPr>
              <w:t>/a。通过采取物料表面遮盖，厂区内道路地面硬化、车辆在厂内减速行驶，并定期对厂区地面进行洒水抑尘的措施，</w:t>
            </w:r>
            <w:r>
              <w:rPr>
                <w:rFonts w:hint="eastAsia"/>
                <w:color w:val="auto"/>
                <w:highlight w:val="none"/>
                <w:lang w:eastAsia="zh-CN"/>
              </w:rPr>
              <w:t>厂区出入口处设置洗轮机清洗车辆，防止带泥上路。</w:t>
            </w:r>
            <w:r>
              <w:rPr>
                <w:rFonts w:hint="eastAsia"/>
                <w:color w:val="auto"/>
                <w:highlight w:val="none"/>
              </w:rPr>
              <w:t>道路运输产生的扬尘减少60%，年排放总量为</w:t>
            </w:r>
            <w:r>
              <w:rPr>
                <w:rFonts w:hint="eastAsia"/>
                <w:color w:val="auto"/>
                <w:highlight w:val="none"/>
                <w:lang w:val="en-US" w:eastAsia="zh-CN"/>
              </w:rPr>
              <w:t>68.37kg</w:t>
            </w:r>
            <w:r>
              <w:rPr>
                <w:rFonts w:hint="eastAsia"/>
                <w:color w:val="auto"/>
                <w:highlight w:val="none"/>
              </w:rPr>
              <w:t>/a。</w:t>
            </w:r>
          </w:p>
          <w:p>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eastAsia"/>
                <w:b/>
                <w:bCs/>
                <w:color w:val="auto"/>
                <w:lang w:val="en-US" w:eastAsia="zh-CN"/>
              </w:rPr>
            </w:pPr>
            <w:r>
              <w:rPr>
                <w:rFonts w:hint="eastAsia"/>
                <w:b/>
                <w:bCs/>
                <w:color w:val="auto"/>
                <w:lang w:val="en-US" w:eastAsia="zh-CN"/>
              </w:rPr>
              <w:t>1.2污染物排放源</w:t>
            </w:r>
          </w:p>
          <w:p>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color w:val="auto"/>
                <w:lang w:val="en-US" w:eastAsia="zh-CN"/>
              </w:rPr>
            </w:pPr>
            <w:r>
              <w:rPr>
                <w:rFonts w:hint="eastAsia"/>
                <w:color w:val="auto"/>
                <w:lang w:val="en-US" w:eastAsia="zh-CN"/>
              </w:rPr>
              <w:t>本项目废气产排情况见下表。</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eastAsia="宋体" w:cs="Times New Roman"/>
                <w:b/>
                <w:bCs/>
                <w:color w:val="auto"/>
                <w:sz w:val="21"/>
                <w:szCs w:val="21"/>
                <w:lang w:val="en-US" w:eastAsia="zh-CN"/>
              </w:rPr>
              <w:t>4-</w:t>
            </w:r>
            <w:r>
              <w:rPr>
                <w:rFonts w:hint="eastAsia" w:cs="Times New Roman"/>
                <w:b/>
                <w:bCs/>
                <w:color w:val="auto"/>
                <w:sz w:val="21"/>
                <w:szCs w:val="21"/>
                <w:lang w:val="en-US" w:eastAsia="zh-CN"/>
              </w:rPr>
              <w:t>2</w:t>
            </w:r>
            <w:r>
              <w:rPr>
                <w:rFonts w:hint="eastAsia" w:ascii="Times New Roman" w:hAnsi="Times New Roman" w:cs="Times New Roman"/>
                <w:b/>
                <w:bCs/>
                <w:color w:val="auto"/>
                <w:sz w:val="21"/>
                <w:szCs w:val="21"/>
                <w:lang w:eastAsia="zh-CN"/>
              </w:rPr>
              <w:t>本项目废气排放</w:t>
            </w:r>
            <w:r>
              <w:rPr>
                <w:rFonts w:hint="default" w:ascii="Times New Roman" w:hAnsi="Times New Roman" w:eastAsia="宋体" w:cs="Times New Roman"/>
                <w:b/>
                <w:bCs/>
                <w:color w:val="auto"/>
                <w:sz w:val="21"/>
                <w:szCs w:val="21"/>
              </w:rPr>
              <w:t>情况一览表</w:t>
            </w:r>
          </w:p>
          <w:tbl>
            <w:tblPr>
              <w:tblStyle w:val="15"/>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971"/>
              <w:gridCol w:w="670"/>
              <w:gridCol w:w="956"/>
              <w:gridCol w:w="774"/>
              <w:gridCol w:w="847"/>
              <w:gridCol w:w="600"/>
              <w:gridCol w:w="829"/>
              <w:gridCol w:w="776"/>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77" w:type="pct"/>
                  <w:vMerge w:val="restart"/>
                  <w:tcBorders>
                    <w:tl2br w:val="nil"/>
                    <w:tr2bl w:val="nil"/>
                  </w:tcBorders>
                  <w:noWrap w:val="0"/>
                  <w:vAlign w:val="center"/>
                </w:tcPr>
                <w:p>
                  <w:pPr>
                    <w:pStyle w:val="28"/>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污染源</w:t>
                  </w:r>
                </w:p>
              </w:tc>
              <w:tc>
                <w:tcPr>
                  <w:tcW w:w="605" w:type="pct"/>
                  <w:vMerge w:val="restart"/>
                  <w:tcBorders>
                    <w:tl2br w:val="nil"/>
                    <w:tr2bl w:val="nil"/>
                  </w:tcBorders>
                  <w:noWrap w:val="0"/>
                  <w:vAlign w:val="center"/>
                </w:tcPr>
                <w:p>
                  <w:pPr>
                    <w:pStyle w:val="28"/>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工序</w:t>
                  </w:r>
                </w:p>
              </w:tc>
              <w:tc>
                <w:tcPr>
                  <w:tcW w:w="417" w:type="pct"/>
                  <w:vMerge w:val="restart"/>
                  <w:tcBorders>
                    <w:tl2br w:val="nil"/>
                    <w:tr2bl w:val="nil"/>
                  </w:tcBorders>
                  <w:noWrap w:val="0"/>
                  <w:vAlign w:val="center"/>
                </w:tcPr>
                <w:p>
                  <w:pPr>
                    <w:pStyle w:val="28"/>
                    <w:ind w:left="0" w:leftChars="0" w:right="0" w:rightChars="0" w:firstLine="0" w:firstLineChars="0"/>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污染物</w:t>
                  </w:r>
                </w:p>
              </w:tc>
              <w:tc>
                <w:tcPr>
                  <w:tcW w:w="1607" w:type="pct"/>
                  <w:gridSpan w:val="3"/>
                  <w:tcBorders>
                    <w:tl2br w:val="nil"/>
                    <w:tr2bl w:val="nil"/>
                  </w:tcBorders>
                  <w:noWrap w:val="0"/>
                  <w:vAlign w:val="center"/>
                </w:tcPr>
                <w:p>
                  <w:pPr>
                    <w:pStyle w:val="28"/>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产生</w:t>
                  </w:r>
                  <w:r>
                    <w:rPr>
                      <w:rFonts w:hint="default" w:ascii="Times New Roman" w:hAnsi="Times New Roman" w:cs="Times New Roman"/>
                      <w:b/>
                      <w:bCs/>
                      <w:color w:val="auto"/>
                      <w:sz w:val="21"/>
                      <w:szCs w:val="21"/>
                      <w:lang w:eastAsia="zh-CN"/>
                    </w:rPr>
                    <w:t>情况</w:t>
                  </w:r>
                </w:p>
              </w:tc>
              <w:tc>
                <w:tcPr>
                  <w:tcW w:w="374" w:type="pct"/>
                  <w:vMerge w:val="restart"/>
                  <w:tcBorders>
                    <w:tl2br w:val="nil"/>
                    <w:tr2bl w:val="nil"/>
                  </w:tcBorders>
                  <w:noWrap w:val="0"/>
                  <w:vAlign w:val="center"/>
                </w:tcPr>
                <w:p>
                  <w:pPr>
                    <w:pStyle w:val="28"/>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处理效率</w:t>
                  </w:r>
                </w:p>
                <w:p>
                  <w:pPr>
                    <w:pStyle w:val="28"/>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w:t>
                  </w:r>
                </w:p>
              </w:tc>
              <w:tc>
                <w:tcPr>
                  <w:tcW w:w="1516" w:type="pct"/>
                  <w:gridSpan w:val="3"/>
                  <w:tcBorders>
                    <w:tl2br w:val="nil"/>
                    <w:tr2bl w:val="nil"/>
                  </w:tcBorders>
                  <w:noWrap w:val="0"/>
                  <w:vAlign w:val="center"/>
                </w:tcPr>
                <w:p>
                  <w:pPr>
                    <w:pStyle w:val="28"/>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477" w:type="pct"/>
                  <w:vMerge w:val="continue"/>
                  <w:tcBorders>
                    <w:tl2br w:val="nil"/>
                    <w:tr2bl w:val="nil"/>
                  </w:tcBorders>
                  <w:noWrap w:val="0"/>
                  <w:vAlign w:val="center"/>
                </w:tcPr>
                <w:p>
                  <w:pPr>
                    <w:pStyle w:val="28"/>
                    <w:rPr>
                      <w:rFonts w:hint="default" w:ascii="Times New Roman" w:hAnsi="Times New Roman" w:eastAsia="宋体" w:cs="Times New Roman"/>
                      <w:b/>
                      <w:bCs/>
                      <w:color w:val="auto"/>
                      <w:sz w:val="21"/>
                      <w:szCs w:val="21"/>
                    </w:rPr>
                  </w:pPr>
                </w:p>
              </w:tc>
              <w:tc>
                <w:tcPr>
                  <w:tcW w:w="605" w:type="pct"/>
                  <w:vMerge w:val="continue"/>
                  <w:tcBorders>
                    <w:tl2br w:val="nil"/>
                    <w:tr2bl w:val="nil"/>
                  </w:tcBorders>
                  <w:noWrap w:val="0"/>
                  <w:vAlign w:val="center"/>
                </w:tcPr>
                <w:p>
                  <w:pPr>
                    <w:pStyle w:val="28"/>
                    <w:rPr>
                      <w:rFonts w:hint="default" w:ascii="Times New Roman" w:hAnsi="Times New Roman" w:eastAsia="宋体" w:cs="Times New Roman"/>
                      <w:b/>
                      <w:bCs/>
                      <w:color w:val="auto"/>
                      <w:sz w:val="21"/>
                      <w:szCs w:val="21"/>
                    </w:rPr>
                  </w:pPr>
                </w:p>
              </w:tc>
              <w:tc>
                <w:tcPr>
                  <w:tcW w:w="417" w:type="pct"/>
                  <w:vMerge w:val="continue"/>
                  <w:tcBorders>
                    <w:tl2br w:val="nil"/>
                    <w:tr2bl w:val="nil"/>
                  </w:tcBorders>
                  <w:noWrap w:val="0"/>
                  <w:vAlign w:val="center"/>
                </w:tcPr>
                <w:p>
                  <w:pPr>
                    <w:pStyle w:val="28"/>
                    <w:rPr>
                      <w:rFonts w:hint="default" w:ascii="Times New Roman" w:hAnsi="Times New Roman" w:eastAsia="宋体" w:cs="Times New Roman"/>
                      <w:b/>
                      <w:bCs/>
                      <w:color w:val="auto"/>
                      <w:sz w:val="21"/>
                      <w:szCs w:val="21"/>
                    </w:rPr>
                  </w:pPr>
                </w:p>
              </w:tc>
              <w:tc>
                <w:tcPr>
                  <w:tcW w:w="596" w:type="pct"/>
                  <w:tcBorders>
                    <w:tl2br w:val="nil"/>
                    <w:tr2bl w:val="nil"/>
                  </w:tcBorders>
                  <w:noWrap w:val="0"/>
                  <w:vAlign w:val="center"/>
                </w:tcPr>
                <w:p>
                  <w:pPr>
                    <w:pStyle w:val="28"/>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产生量</w:t>
                  </w:r>
                  <w:r>
                    <w:rPr>
                      <w:rFonts w:hint="eastAsia" w:cs="Times New Roman"/>
                      <w:b/>
                      <w:bCs/>
                      <w:color w:val="auto"/>
                      <w:sz w:val="21"/>
                      <w:szCs w:val="21"/>
                      <w:lang w:val="en-US" w:eastAsia="zh-CN"/>
                    </w:rPr>
                    <w:t>t</w:t>
                  </w:r>
                  <w:r>
                    <w:rPr>
                      <w:rFonts w:hint="default" w:ascii="Times New Roman" w:hAnsi="Times New Roman" w:cs="Times New Roman"/>
                      <w:b/>
                      <w:bCs/>
                      <w:color w:val="auto"/>
                      <w:sz w:val="21"/>
                      <w:szCs w:val="21"/>
                      <w:lang w:eastAsia="zh-CN"/>
                    </w:rPr>
                    <w:t>/a</w:t>
                  </w:r>
                </w:p>
              </w:tc>
              <w:tc>
                <w:tcPr>
                  <w:tcW w:w="482" w:type="pct"/>
                  <w:tcBorders>
                    <w:tl2br w:val="nil"/>
                    <w:tr2bl w:val="nil"/>
                  </w:tcBorders>
                  <w:noWrap w:val="0"/>
                  <w:vAlign w:val="center"/>
                </w:tcPr>
                <w:p>
                  <w:pPr>
                    <w:pStyle w:val="28"/>
                    <w:ind w:left="0" w:leftChars="0" w:right="0" w:rightChars="0" w:firstLine="0" w:firstLineChars="0"/>
                    <w:rPr>
                      <w:rFonts w:hint="default" w:ascii="Times New Roman" w:hAnsi="Times New Roman" w:eastAsia="宋体" w:cs="Times New Roman"/>
                      <w:b/>
                      <w:bCs/>
                      <w:color w:val="auto"/>
                      <w:sz w:val="21"/>
                      <w:szCs w:val="21"/>
                      <w:lang w:val="en-US" w:eastAsia="zh-CN" w:bidi="zh-CN"/>
                    </w:rPr>
                  </w:pPr>
                  <w:r>
                    <w:rPr>
                      <w:rFonts w:hint="default" w:ascii="Times New Roman" w:hAnsi="Times New Roman" w:cs="Times New Roman"/>
                      <w:b/>
                      <w:bCs/>
                      <w:color w:val="auto"/>
                      <w:sz w:val="21"/>
                      <w:szCs w:val="21"/>
                      <w:lang w:eastAsia="zh-CN"/>
                    </w:rPr>
                    <w:t>速率</w:t>
                  </w:r>
                  <w:r>
                    <w:rPr>
                      <w:rFonts w:hint="default" w:ascii="Times New Roman" w:hAnsi="Times New Roman" w:cs="Times New Roman"/>
                      <w:b/>
                      <w:bCs/>
                      <w:color w:val="auto"/>
                      <w:sz w:val="21"/>
                      <w:szCs w:val="21"/>
                      <w:lang w:val="en-US" w:eastAsia="zh-CN"/>
                    </w:rPr>
                    <w:t>kg</w:t>
                  </w:r>
                  <w:r>
                    <w:rPr>
                      <w:rFonts w:hint="default" w:ascii="Times New Roman" w:hAnsi="Times New Roman" w:eastAsia="宋体" w:cs="Times New Roman"/>
                      <w:b/>
                      <w:bCs/>
                      <w:color w:val="auto"/>
                      <w:sz w:val="21"/>
                      <w:szCs w:val="21"/>
                    </w:rPr>
                    <w:t>/</w:t>
                  </w:r>
                  <w:r>
                    <w:rPr>
                      <w:rFonts w:hint="default" w:ascii="Times New Roman" w:hAnsi="Times New Roman" w:cs="Times New Roman"/>
                      <w:b/>
                      <w:bCs/>
                      <w:color w:val="auto"/>
                      <w:sz w:val="21"/>
                      <w:szCs w:val="21"/>
                      <w:lang w:val="en-US" w:eastAsia="zh-CN"/>
                    </w:rPr>
                    <w:t>h</w:t>
                  </w:r>
                </w:p>
              </w:tc>
              <w:tc>
                <w:tcPr>
                  <w:tcW w:w="528" w:type="pct"/>
                  <w:tcBorders>
                    <w:tl2br w:val="nil"/>
                    <w:tr2bl w:val="nil"/>
                  </w:tcBorders>
                  <w:noWrap w:val="0"/>
                  <w:vAlign w:val="center"/>
                </w:tcPr>
                <w:p>
                  <w:pPr>
                    <w:pStyle w:val="28"/>
                    <w:ind w:firstLine="0" w:firstLineChars="0"/>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eastAsia="zh-CN"/>
                    </w:rPr>
                    <w:t>浓度</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374" w:type="pct"/>
                  <w:vMerge w:val="continue"/>
                  <w:tcBorders>
                    <w:tl2br w:val="nil"/>
                    <w:tr2bl w:val="nil"/>
                  </w:tcBorders>
                  <w:noWrap w:val="0"/>
                  <w:vAlign w:val="center"/>
                </w:tcPr>
                <w:p>
                  <w:pPr>
                    <w:pStyle w:val="28"/>
                    <w:rPr>
                      <w:rFonts w:hint="default" w:ascii="Times New Roman" w:hAnsi="Times New Roman" w:eastAsia="宋体" w:cs="Times New Roman"/>
                      <w:b/>
                      <w:bCs/>
                      <w:color w:val="auto"/>
                      <w:sz w:val="21"/>
                      <w:szCs w:val="21"/>
                    </w:rPr>
                  </w:pPr>
                </w:p>
              </w:tc>
              <w:tc>
                <w:tcPr>
                  <w:tcW w:w="517" w:type="pct"/>
                  <w:tcBorders>
                    <w:tl2br w:val="nil"/>
                    <w:tr2bl w:val="nil"/>
                  </w:tcBorders>
                  <w:noWrap w:val="0"/>
                  <w:vAlign w:val="center"/>
                </w:tcPr>
                <w:p>
                  <w:pPr>
                    <w:pStyle w:val="28"/>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sz w:val="21"/>
                      <w:szCs w:val="21"/>
                    </w:rPr>
                    <w:t>排放量</w:t>
                  </w:r>
                  <w:r>
                    <w:rPr>
                      <w:rFonts w:hint="eastAsia" w:cs="Times New Roman"/>
                      <w:b/>
                      <w:bCs/>
                      <w:color w:val="auto"/>
                      <w:sz w:val="21"/>
                      <w:szCs w:val="21"/>
                      <w:lang w:val="en-US" w:eastAsia="zh-CN"/>
                    </w:rPr>
                    <w:t>t</w:t>
                  </w:r>
                  <w:r>
                    <w:rPr>
                      <w:rFonts w:hint="default" w:ascii="Times New Roman" w:hAnsi="Times New Roman" w:eastAsia="宋体" w:cs="Times New Roman"/>
                      <w:b/>
                      <w:bCs/>
                      <w:color w:val="auto"/>
                      <w:sz w:val="21"/>
                      <w:szCs w:val="21"/>
                    </w:rPr>
                    <w:t>/a</w:t>
                  </w:r>
                </w:p>
              </w:tc>
              <w:tc>
                <w:tcPr>
                  <w:tcW w:w="484" w:type="pct"/>
                  <w:tcBorders>
                    <w:tl2br w:val="nil"/>
                    <w:tr2bl w:val="nil"/>
                  </w:tcBorders>
                  <w:noWrap w:val="0"/>
                  <w:vAlign w:val="center"/>
                </w:tcPr>
                <w:p>
                  <w:pPr>
                    <w:pStyle w:val="28"/>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速率kg</w:t>
                  </w:r>
                  <w:r>
                    <w:rPr>
                      <w:rFonts w:hint="default" w:ascii="Times New Roman" w:hAnsi="Times New Roman" w:eastAsia="宋体" w:cs="Times New Roman"/>
                      <w:b/>
                      <w:bCs/>
                      <w:color w:val="auto"/>
                      <w:sz w:val="21"/>
                      <w:szCs w:val="21"/>
                    </w:rPr>
                    <w:t>/</w:t>
                  </w:r>
                  <w:r>
                    <w:rPr>
                      <w:rFonts w:hint="default" w:ascii="Times New Roman" w:hAnsi="Times New Roman" w:cs="Times New Roman"/>
                      <w:b/>
                      <w:bCs/>
                      <w:color w:val="auto"/>
                      <w:sz w:val="21"/>
                      <w:szCs w:val="21"/>
                      <w:lang w:val="en-US" w:eastAsia="zh-CN"/>
                    </w:rPr>
                    <w:t>h</w:t>
                  </w:r>
                </w:p>
              </w:tc>
              <w:tc>
                <w:tcPr>
                  <w:tcW w:w="515" w:type="pct"/>
                  <w:tcBorders>
                    <w:tl2br w:val="nil"/>
                    <w:tr2bl w:val="nil"/>
                  </w:tcBorders>
                  <w:noWrap w:val="0"/>
                  <w:vAlign w:val="center"/>
                </w:tcPr>
                <w:p>
                  <w:pPr>
                    <w:pStyle w:val="28"/>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浓度</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pct"/>
                  <w:tcBorders>
                    <w:tl2br w:val="nil"/>
                    <w:tr2bl w:val="nil"/>
                  </w:tcBorders>
                  <w:noWrap w:val="0"/>
                  <w:vAlign w:val="center"/>
                </w:tcPr>
                <w:p>
                  <w:pPr>
                    <w:pStyle w:val="28"/>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原料库、封闭式生产车间</w:t>
                  </w:r>
                </w:p>
              </w:tc>
              <w:tc>
                <w:tcPr>
                  <w:tcW w:w="605" w:type="pct"/>
                  <w:tcBorders>
                    <w:tl2br w:val="nil"/>
                    <w:tr2bl w:val="nil"/>
                  </w:tcBorders>
                  <w:noWrap w:val="0"/>
                  <w:vAlign w:val="center"/>
                </w:tcPr>
                <w:p>
                  <w:pPr>
                    <w:pStyle w:val="28"/>
                    <w:rPr>
                      <w:rFonts w:hint="default" w:ascii="Times New Roman" w:hAnsi="Times New Roman" w:cs="Times New Roman"/>
                      <w:color w:val="auto"/>
                      <w:sz w:val="21"/>
                      <w:szCs w:val="21"/>
                      <w:lang w:val="en-US" w:eastAsia="zh-CN"/>
                    </w:rPr>
                  </w:pPr>
                  <w:r>
                    <w:rPr>
                      <w:rFonts w:hint="eastAsia" w:cs="Times New Roman"/>
                      <w:color w:val="auto"/>
                      <w:spacing w:val="0"/>
                      <w:sz w:val="21"/>
                      <w:szCs w:val="21"/>
                      <w:lang w:eastAsia="zh-CN"/>
                    </w:rPr>
                    <w:t>原料运输、装卸</w:t>
                  </w:r>
                </w:p>
              </w:tc>
              <w:tc>
                <w:tcPr>
                  <w:tcW w:w="417" w:type="pct"/>
                  <w:tcBorders>
                    <w:tl2br w:val="nil"/>
                    <w:tr2bl w:val="nil"/>
                  </w:tcBorders>
                  <w:noWrap w:val="0"/>
                  <w:vAlign w:val="center"/>
                </w:tcPr>
                <w:p>
                  <w:pPr>
                    <w:pStyle w:val="28"/>
                    <w:ind w:left="0" w:leftChars="0" w:right="0" w:rightChars="0" w:firstLine="0" w:firstLineChars="0"/>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颗粒物</w:t>
                  </w:r>
                </w:p>
              </w:tc>
              <w:tc>
                <w:tcPr>
                  <w:tcW w:w="596" w:type="pct"/>
                  <w:tcBorders>
                    <w:tl2br w:val="nil"/>
                    <w:tr2bl w:val="nil"/>
                  </w:tcBorders>
                  <w:noWrap w:val="0"/>
                  <w:vAlign w:val="center"/>
                </w:tcPr>
                <w:p>
                  <w:pPr>
                    <w:pStyle w:val="28"/>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482" w:type="pct"/>
                  <w:tcBorders>
                    <w:tl2br w:val="nil"/>
                    <w:tr2bl w:val="nil"/>
                  </w:tcBorders>
                  <w:noWrap w:val="0"/>
                  <w:vAlign w:val="center"/>
                </w:tcPr>
                <w:p>
                  <w:pPr>
                    <w:pStyle w:val="28"/>
                    <w:ind w:left="0" w:leftChars="0" w:right="0" w:rightChars="0" w:firstLine="0" w:firstLineChars="0"/>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5.3</w:t>
                  </w:r>
                </w:p>
              </w:tc>
              <w:tc>
                <w:tcPr>
                  <w:tcW w:w="528" w:type="pct"/>
                  <w:tcBorders>
                    <w:tl2br w:val="nil"/>
                    <w:tr2bl w:val="nil"/>
                  </w:tcBorders>
                  <w:noWrap w:val="0"/>
                  <w:vAlign w:val="center"/>
                </w:tcPr>
                <w:p>
                  <w:pPr>
                    <w:pStyle w:val="28"/>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c>
                <w:tcPr>
                  <w:tcW w:w="374" w:type="pct"/>
                  <w:tcBorders>
                    <w:tl2br w:val="nil"/>
                    <w:tr2bl w:val="nil"/>
                  </w:tcBorders>
                  <w:noWrap w:val="0"/>
                  <w:vAlign w:val="center"/>
                </w:tcPr>
                <w:p>
                  <w:pPr>
                    <w:pStyle w:val="28"/>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w:t>
                  </w:r>
                </w:p>
              </w:tc>
              <w:tc>
                <w:tcPr>
                  <w:tcW w:w="517" w:type="pct"/>
                  <w:tcBorders>
                    <w:tl2br w:val="nil"/>
                    <w:tr2bl w:val="nil"/>
                  </w:tcBorders>
                  <w:noWrap w:val="0"/>
                  <w:vAlign w:val="center"/>
                </w:tcPr>
                <w:p>
                  <w:pPr>
                    <w:pStyle w:val="28"/>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0.8</w:t>
                  </w:r>
                </w:p>
              </w:tc>
              <w:tc>
                <w:tcPr>
                  <w:tcW w:w="484" w:type="pct"/>
                  <w:tcBorders>
                    <w:tl2br w:val="nil"/>
                    <w:tr2bl w:val="nil"/>
                  </w:tcBorders>
                  <w:noWrap w:val="0"/>
                  <w:vAlign w:val="center"/>
                </w:tcPr>
                <w:p>
                  <w:pPr>
                    <w:pStyle w:val="28"/>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r>
                    <w:rPr>
                      <w:rFonts w:hint="eastAsia"/>
                      <w:lang w:val="en-US" w:eastAsia="zh-CN"/>
                    </w:rPr>
                    <w:t>3</w:t>
                  </w:r>
                </w:p>
              </w:tc>
              <w:tc>
                <w:tcPr>
                  <w:tcW w:w="515" w:type="pct"/>
                  <w:tcBorders>
                    <w:tl2br w:val="nil"/>
                    <w:tr2bl w:val="nil"/>
                  </w:tcBorders>
                  <w:noWrap w:val="0"/>
                  <w:vAlign w:val="center"/>
                </w:tcPr>
                <w:p>
                  <w:pPr>
                    <w:pStyle w:val="28"/>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77" w:type="pct"/>
                  <w:tcBorders>
                    <w:tl2br w:val="nil"/>
                    <w:tr2bl w:val="nil"/>
                  </w:tcBorders>
                  <w:noWrap w:val="0"/>
                  <w:vAlign w:val="center"/>
                </w:tcPr>
                <w:p>
                  <w:pPr>
                    <w:pStyle w:val="28"/>
                    <w:rPr>
                      <w:rFonts w:hint="eastAsia" w:ascii="Times New Roman" w:hAnsi="Times New Roman" w:eastAsia="宋体" w:cs="Times New Roman"/>
                      <w:color w:val="auto"/>
                      <w:sz w:val="21"/>
                      <w:szCs w:val="21"/>
                      <w:lang w:val="en-US" w:eastAsia="zh-CN"/>
                    </w:rPr>
                  </w:pPr>
                  <w:r>
                    <w:rPr>
                      <w:rFonts w:hint="eastAsia"/>
                      <w:color w:val="auto"/>
                      <w:sz w:val="21"/>
                      <w:szCs w:val="21"/>
                      <w:lang w:eastAsia="zh-CN"/>
                    </w:rPr>
                    <w:t>封闭式生产车间布袋除尘器（</w:t>
                  </w:r>
                  <w:r>
                    <w:rPr>
                      <w:rFonts w:hint="eastAsia"/>
                      <w:color w:val="auto"/>
                      <w:sz w:val="21"/>
                      <w:szCs w:val="21"/>
                      <w:lang w:val="en-US" w:eastAsia="zh-CN"/>
                    </w:rPr>
                    <w:t>DA001</w:t>
                  </w:r>
                  <w:r>
                    <w:rPr>
                      <w:rFonts w:hint="eastAsia"/>
                      <w:color w:val="auto"/>
                      <w:sz w:val="21"/>
                      <w:szCs w:val="21"/>
                      <w:lang w:eastAsia="zh-CN"/>
                    </w:rPr>
                    <w:t>）</w:t>
                  </w:r>
                </w:p>
              </w:tc>
              <w:tc>
                <w:tcPr>
                  <w:tcW w:w="605" w:type="pct"/>
                  <w:tcBorders>
                    <w:tl2br w:val="nil"/>
                    <w:tr2bl w:val="nil"/>
                  </w:tcBorders>
                  <w:noWrap w:val="0"/>
                  <w:vAlign w:val="center"/>
                </w:tcPr>
                <w:p>
                  <w:pPr>
                    <w:pStyle w:val="28"/>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破碎、筛分</w:t>
                  </w:r>
                </w:p>
              </w:tc>
              <w:tc>
                <w:tcPr>
                  <w:tcW w:w="417" w:type="pct"/>
                  <w:tcBorders>
                    <w:tl2br w:val="nil"/>
                    <w:tr2bl w:val="nil"/>
                  </w:tcBorders>
                  <w:noWrap w:val="0"/>
                  <w:vAlign w:val="center"/>
                </w:tcPr>
                <w:p>
                  <w:pPr>
                    <w:pStyle w:val="28"/>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596" w:type="pct"/>
                  <w:tcBorders>
                    <w:tl2br w:val="nil"/>
                    <w:tr2bl w:val="nil"/>
                  </w:tcBorders>
                  <w:noWrap w:val="0"/>
                  <w:vAlign w:val="center"/>
                </w:tcPr>
                <w:p>
                  <w:pPr>
                    <w:pStyle w:val="28"/>
                    <w:ind w:left="0" w:leftChars="0" w:right="0" w:rightChars="0" w:firstLine="0" w:firstLineChars="0"/>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600</w:t>
                  </w:r>
                </w:p>
              </w:tc>
              <w:tc>
                <w:tcPr>
                  <w:tcW w:w="482" w:type="pct"/>
                  <w:tcBorders>
                    <w:tl2br w:val="nil"/>
                    <w:tr2bl w:val="nil"/>
                  </w:tcBorders>
                  <w:noWrap w:val="0"/>
                  <w:vAlign w:val="center"/>
                </w:tcPr>
                <w:p>
                  <w:pPr>
                    <w:pStyle w:val="28"/>
                    <w:ind w:left="0" w:leftChars="0" w:right="0" w:rightChars="0" w:firstLine="0" w:firstLineChars="0"/>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400</w:t>
                  </w:r>
                </w:p>
              </w:tc>
              <w:tc>
                <w:tcPr>
                  <w:tcW w:w="528" w:type="pct"/>
                  <w:tcBorders>
                    <w:tl2br w:val="nil"/>
                    <w:tr2bl w:val="nil"/>
                  </w:tcBorders>
                  <w:noWrap w:val="0"/>
                  <w:vAlign w:val="center"/>
                </w:tcPr>
                <w:p>
                  <w:pPr>
                    <w:pStyle w:val="28"/>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13333.33</w:t>
                  </w:r>
                </w:p>
              </w:tc>
              <w:tc>
                <w:tcPr>
                  <w:tcW w:w="374" w:type="pct"/>
                  <w:tcBorders>
                    <w:tl2br w:val="nil"/>
                    <w:tr2bl w:val="nil"/>
                  </w:tcBorders>
                  <w:noWrap w:val="0"/>
                  <w:vAlign w:val="center"/>
                </w:tcPr>
                <w:p>
                  <w:pPr>
                    <w:pStyle w:val="28"/>
                    <w:ind w:left="0" w:leftChars="0" w:right="0" w:rightChars="0" w:firstLine="0" w:firstLineChars="0"/>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99.8</w:t>
                  </w:r>
                </w:p>
              </w:tc>
              <w:tc>
                <w:tcPr>
                  <w:tcW w:w="517" w:type="pct"/>
                  <w:tcBorders>
                    <w:tl2br w:val="nil"/>
                    <w:tr2bl w:val="nil"/>
                  </w:tcBorders>
                  <w:noWrap w:val="0"/>
                  <w:vAlign w:val="center"/>
                </w:tcPr>
                <w:p>
                  <w:pPr>
                    <w:pStyle w:val="28"/>
                    <w:ind w:left="0" w:leftChars="0" w:right="0" w:rightChars="0" w:firstLine="0" w:firstLineChars="0"/>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1.2</w:t>
                  </w:r>
                </w:p>
              </w:tc>
              <w:tc>
                <w:tcPr>
                  <w:tcW w:w="484" w:type="pct"/>
                  <w:tcBorders>
                    <w:tl2br w:val="nil"/>
                    <w:tr2bl w:val="nil"/>
                  </w:tcBorders>
                  <w:noWrap w:val="0"/>
                  <w:vAlign w:val="center"/>
                </w:tcPr>
                <w:p>
                  <w:pPr>
                    <w:pStyle w:val="28"/>
                    <w:ind w:left="0" w:leftChars="0" w:right="0" w:rightChars="0" w:firstLine="0" w:firstLineChars="0"/>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0.8</w:t>
                  </w:r>
                </w:p>
              </w:tc>
              <w:tc>
                <w:tcPr>
                  <w:tcW w:w="515" w:type="pct"/>
                  <w:tcBorders>
                    <w:tl2br w:val="nil"/>
                    <w:tr2bl w:val="nil"/>
                  </w:tcBorders>
                  <w:noWrap w:val="0"/>
                  <w:vAlign w:val="center"/>
                </w:tcPr>
                <w:p>
                  <w:pPr>
                    <w:pStyle w:val="28"/>
                    <w:ind w:left="0" w:leftChars="0" w:right="0" w:rightChars="0" w:firstLine="0" w:firstLineChars="0"/>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77" w:type="pct"/>
                  <w:tcBorders>
                    <w:tl2br w:val="nil"/>
                    <w:tr2bl w:val="nil"/>
                  </w:tcBorders>
                  <w:noWrap w:val="0"/>
                  <w:vAlign w:val="center"/>
                </w:tcPr>
                <w:p>
                  <w:pPr>
                    <w:pStyle w:val="28"/>
                    <w:rPr>
                      <w:rFonts w:hint="eastAsia" w:ascii="Times New Roman" w:hAnsi="Times New Roman" w:eastAsia="宋体" w:cs="Times New Roman"/>
                      <w:color w:val="auto"/>
                      <w:spacing w:val="0"/>
                      <w:sz w:val="21"/>
                      <w:szCs w:val="21"/>
                      <w:lang w:val="en-US" w:eastAsia="zh-CN" w:bidi="zh-CN"/>
                    </w:rPr>
                  </w:pPr>
                  <w:r>
                    <w:rPr>
                      <w:rFonts w:hint="default" w:ascii="Times New Roman" w:hAnsi="Times New Roman" w:cs="Times New Roman"/>
                      <w:color w:val="auto"/>
                      <w:spacing w:val="0"/>
                      <w:sz w:val="21"/>
                      <w:szCs w:val="21"/>
                      <w:lang w:val="en-US" w:eastAsia="zh-CN"/>
                    </w:rPr>
                    <w:t>厂区</w:t>
                  </w:r>
                </w:p>
              </w:tc>
              <w:tc>
                <w:tcPr>
                  <w:tcW w:w="605" w:type="pct"/>
                  <w:tcBorders>
                    <w:tl2br w:val="nil"/>
                    <w:tr2bl w:val="nil"/>
                  </w:tcBorders>
                  <w:noWrap w:val="0"/>
                  <w:vAlign w:val="center"/>
                </w:tcPr>
                <w:p>
                  <w:pPr>
                    <w:pStyle w:val="28"/>
                    <w:rPr>
                      <w:rFonts w:hint="eastAsia" w:ascii="Times New Roman" w:hAnsi="Times New Roman" w:eastAsia="宋体" w:cs="Times New Roman"/>
                      <w:color w:val="auto"/>
                      <w:spacing w:val="0"/>
                      <w:sz w:val="21"/>
                      <w:szCs w:val="21"/>
                      <w:lang w:val="en-US" w:eastAsia="zh-CN" w:bidi="zh-CN"/>
                    </w:rPr>
                  </w:pPr>
                  <w:r>
                    <w:rPr>
                      <w:rFonts w:hint="default" w:ascii="Times New Roman" w:hAnsi="Times New Roman" w:cs="Times New Roman"/>
                      <w:color w:val="auto"/>
                      <w:spacing w:val="0"/>
                      <w:sz w:val="21"/>
                      <w:szCs w:val="21"/>
                      <w:lang w:eastAsia="zh-CN"/>
                    </w:rPr>
                    <w:t>运输</w:t>
                  </w:r>
                </w:p>
              </w:tc>
              <w:tc>
                <w:tcPr>
                  <w:tcW w:w="417" w:type="pct"/>
                  <w:tcBorders>
                    <w:tl2br w:val="nil"/>
                    <w:tr2bl w:val="nil"/>
                  </w:tcBorders>
                  <w:noWrap w:val="0"/>
                  <w:vAlign w:val="center"/>
                </w:tcPr>
                <w:p>
                  <w:pPr>
                    <w:pStyle w:val="28"/>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颗粒物</w:t>
                  </w:r>
                </w:p>
              </w:tc>
              <w:tc>
                <w:tcPr>
                  <w:tcW w:w="596" w:type="pct"/>
                  <w:tcBorders>
                    <w:tl2br w:val="nil"/>
                    <w:tr2bl w:val="nil"/>
                  </w:tcBorders>
                  <w:noWrap w:val="0"/>
                  <w:vAlign w:val="center"/>
                </w:tcPr>
                <w:p>
                  <w:pPr>
                    <w:pStyle w:val="28"/>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rPr>
                    <w:t>0.17</w:t>
                  </w:r>
                </w:p>
              </w:tc>
              <w:tc>
                <w:tcPr>
                  <w:tcW w:w="482" w:type="pct"/>
                  <w:tcBorders>
                    <w:tl2br w:val="nil"/>
                    <w:tr2bl w:val="nil"/>
                  </w:tcBorders>
                  <w:noWrap w:val="0"/>
                  <w:vAlign w:val="center"/>
                </w:tcPr>
                <w:p>
                  <w:pPr>
                    <w:pStyle w:val="28"/>
                    <w:ind w:left="0" w:leftChars="0" w:right="0" w:rightChars="0"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0.0001</w:t>
                  </w:r>
                </w:p>
              </w:tc>
              <w:tc>
                <w:tcPr>
                  <w:tcW w:w="528" w:type="pct"/>
                  <w:tcBorders>
                    <w:tl2br w:val="nil"/>
                    <w:tr2bl w:val="nil"/>
                  </w:tcBorders>
                  <w:noWrap w:val="0"/>
                  <w:vAlign w:val="center"/>
                </w:tcPr>
                <w:p>
                  <w:pPr>
                    <w:pStyle w:val="28"/>
                    <w:rPr>
                      <w:rFonts w:hint="eastAsia"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lang w:val="en-US" w:eastAsia="zh-CN"/>
                    </w:rPr>
                    <w:t>—</w:t>
                  </w:r>
                </w:p>
              </w:tc>
              <w:tc>
                <w:tcPr>
                  <w:tcW w:w="374" w:type="pct"/>
                  <w:tcBorders>
                    <w:tl2br w:val="nil"/>
                    <w:tr2bl w:val="nil"/>
                  </w:tcBorders>
                  <w:noWrap w:val="0"/>
                  <w:vAlign w:val="center"/>
                </w:tcPr>
                <w:p>
                  <w:pPr>
                    <w:pStyle w:val="28"/>
                    <w:rPr>
                      <w:rFonts w:hint="eastAsia"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60</w:t>
                  </w:r>
                </w:p>
              </w:tc>
              <w:tc>
                <w:tcPr>
                  <w:tcW w:w="517" w:type="pct"/>
                  <w:tcBorders>
                    <w:tl2br w:val="nil"/>
                    <w:tr2bl w:val="nil"/>
                  </w:tcBorders>
                  <w:noWrap w:val="0"/>
                  <w:vAlign w:val="center"/>
                </w:tcPr>
                <w:p>
                  <w:pPr>
                    <w:pStyle w:val="28"/>
                    <w:rPr>
                      <w:rFonts w:hint="default" w:ascii="Times New Roman" w:hAnsi="Times New Roman" w:eastAsia="宋体" w:cs="Times New Roman"/>
                      <w:color w:val="auto"/>
                      <w:sz w:val="21"/>
                      <w:szCs w:val="21"/>
                      <w:lang w:val="en-US" w:eastAsia="zh-CN" w:bidi="zh-CN"/>
                    </w:rPr>
                  </w:pPr>
                  <w:r>
                    <w:rPr>
                      <w:rFonts w:hint="eastAsia"/>
                      <w:color w:val="auto"/>
                      <w:highlight w:val="none"/>
                      <w:lang w:val="en-US" w:eastAsia="zh-CN"/>
                    </w:rPr>
                    <w:t>0.068</w:t>
                  </w:r>
                </w:p>
              </w:tc>
              <w:tc>
                <w:tcPr>
                  <w:tcW w:w="484" w:type="pct"/>
                  <w:tcBorders>
                    <w:tl2br w:val="nil"/>
                    <w:tr2bl w:val="nil"/>
                  </w:tcBorders>
                  <w:noWrap w:val="0"/>
                  <w:vAlign w:val="center"/>
                </w:tcPr>
                <w:p>
                  <w:pPr>
                    <w:pStyle w:val="28"/>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rPr>
                    <w:t>0.0005</w:t>
                  </w:r>
                </w:p>
              </w:tc>
              <w:tc>
                <w:tcPr>
                  <w:tcW w:w="515" w:type="pct"/>
                  <w:tcBorders>
                    <w:tl2br w:val="nil"/>
                    <w:tr2bl w:val="nil"/>
                  </w:tcBorders>
                  <w:noWrap w:val="0"/>
                  <w:vAlign w:val="center"/>
                </w:tcPr>
                <w:p>
                  <w:pPr>
                    <w:pStyle w:val="28"/>
                    <w:rPr>
                      <w:rFonts w:hint="eastAsia"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lang w:val="en-US" w:eastAsia="zh-CN"/>
                    </w:rPr>
                    <w:t>—</w:t>
                  </w:r>
                </w:p>
              </w:tc>
            </w:tr>
          </w:tbl>
          <w:p>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eastAsia"/>
                <w:b/>
                <w:bCs/>
                <w:lang w:val="en-US" w:eastAsia="zh-CN"/>
              </w:rPr>
            </w:pPr>
            <w:r>
              <w:rPr>
                <w:rFonts w:hint="eastAsia"/>
                <w:b/>
                <w:bCs/>
                <w:lang w:val="en-US" w:eastAsia="zh-CN"/>
              </w:rPr>
              <w:t>1.3废气收集处理措施</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sz w:val="24"/>
                <w:szCs w:val="24"/>
                <w:highlight w:val="none"/>
                <w:lang w:val="en-US" w:eastAsia="zh-CN"/>
              </w:rPr>
            </w:pPr>
            <w:r>
              <w:rPr>
                <w:color w:val="auto"/>
              </w:rPr>
              <w:pict>
                <v:shape id="_x0000_s1037" o:spid="_x0000_s1037" o:spt="75" type="#_x0000_t75" style="position:absolute;left:0pt;margin-left:3.15pt;margin-top:71.25pt;height:138.25pt;width:403.65pt;z-index:-251643904;mso-width-relative:page;mso-height-relative:page;" o:ole="t" filled="f" o:preferrelative="t" stroked="f" coordsize="21600,21600">
                  <v:path/>
                  <v:fill on="f" focussize="0,0"/>
                  <v:stroke on="f"/>
                  <v:imagedata r:id="rId20" o:title=""/>
                  <o:lock v:ext="edit" aspectratio="f"/>
                </v:shape>
                <o:OLEObject Type="Embed" ProgID="Visio.Drawing.11" ShapeID="_x0000_s1037" DrawAspect="Content" ObjectID="_1468075728" r:id="rId19">
                  <o:LockedField>false</o:LockedField>
                </o:OLEObject>
              </w:pict>
            </w:r>
            <w:r>
              <w:rPr>
                <w:rFonts w:hint="eastAsia"/>
                <w:color w:val="auto"/>
                <w:lang w:val="en-US" w:eastAsia="zh-CN"/>
              </w:rPr>
              <w:t>本项目在破碎、筛分系统</w:t>
            </w:r>
            <w:r>
              <w:rPr>
                <w:rFonts w:hint="eastAsia" w:cs="Times New Roman"/>
                <w:color w:val="auto"/>
                <w:sz w:val="24"/>
                <w:szCs w:val="24"/>
                <w:lang w:val="en-US" w:eastAsia="zh-CN"/>
              </w:rPr>
              <w:t>设置一台</w:t>
            </w:r>
            <w:r>
              <w:rPr>
                <w:rFonts w:hint="eastAsia" w:ascii="Times New Roman" w:hAnsi="Times New Roman" w:cs="Times New Roman"/>
                <w:color w:val="auto"/>
                <w:sz w:val="24"/>
                <w:szCs w:val="24"/>
                <w:lang w:eastAsia="zh-CN"/>
              </w:rPr>
              <w:t>高效脉冲</w:t>
            </w:r>
            <w:r>
              <w:rPr>
                <w:rFonts w:hint="default" w:ascii="Times New Roman" w:hAnsi="Times New Roman" w:cs="Times New Roman"/>
                <w:color w:val="auto"/>
                <w:sz w:val="24"/>
                <w:szCs w:val="24"/>
              </w:rPr>
              <w:t>布袋除尘器</w:t>
            </w:r>
            <w:r>
              <w:rPr>
                <w:rFonts w:hint="eastAsia" w:cs="Times New Roman"/>
                <w:color w:val="auto"/>
                <w:sz w:val="24"/>
                <w:szCs w:val="24"/>
                <w:lang w:eastAsia="zh-CN"/>
              </w:rPr>
              <w:t>，在</w:t>
            </w:r>
            <w:r>
              <w:rPr>
                <w:rFonts w:hint="eastAsia" w:hAnsi="宋体"/>
                <w:color w:val="auto"/>
                <w:kern w:val="0"/>
                <w:sz w:val="24"/>
                <w:szCs w:val="24"/>
                <w:lang w:eastAsia="zh-CN"/>
              </w:rPr>
              <w:t>破碎机进料口及出料口、振动筛进料口及出料口均</w:t>
            </w:r>
            <w:r>
              <w:rPr>
                <w:rFonts w:hint="default" w:ascii="Times New Roman" w:hAnsi="Times New Roman" w:cs="Times New Roman"/>
                <w:color w:val="auto"/>
                <w:sz w:val="24"/>
                <w:szCs w:val="24"/>
              </w:rPr>
              <w:t>设置</w:t>
            </w:r>
            <w:r>
              <w:rPr>
                <w:rFonts w:hint="eastAsia" w:cs="Times New Roman"/>
                <w:color w:val="auto"/>
                <w:sz w:val="24"/>
                <w:szCs w:val="24"/>
                <w:lang w:eastAsia="zh-CN"/>
              </w:rPr>
              <w:t>封闭</w:t>
            </w:r>
            <w:r>
              <w:rPr>
                <w:rFonts w:hint="default" w:ascii="Times New Roman" w:hAnsi="Times New Roman" w:cs="Times New Roman"/>
                <w:color w:val="auto"/>
                <w:sz w:val="24"/>
                <w:szCs w:val="24"/>
              </w:rPr>
              <w:t>集</w:t>
            </w:r>
            <w:r>
              <w:rPr>
                <w:rFonts w:hint="eastAsia" w:ascii="Times New Roman" w:hAnsi="Times New Roman" w:cs="Times New Roman"/>
                <w:color w:val="auto"/>
                <w:sz w:val="24"/>
                <w:szCs w:val="24"/>
                <w:lang w:eastAsia="zh-CN"/>
              </w:rPr>
              <w:t>气</w:t>
            </w:r>
            <w:r>
              <w:rPr>
                <w:rFonts w:hint="default" w:ascii="Times New Roman" w:hAnsi="Times New Roman" w:cs="Times New Roman"/>
                <w:color w:val="auto"/>
                <w:sz w:val="24"/>
                <w:szCs w:val="24"/>
              </w:rPr>
              <w:t>罩，由</w:t>
            </w:r>
            <w:r>
              <w:rPr>
                <w:rFonts w:hint="default" w:ascii="Times New Roman" w:hAnsi="Times New Roman" w:cs="Times New Roman"/>
                <w:color w:val="auto"/>
                <w:sz w:val="24"/>
                <w:szCs w:val="24"/>
                <w:lang w:eastAsia="zh-CN"/>
              </w:rPr>
              <w:t>引</w:t>
            </w:r>
            <w:r>
              <w:rPr>
                <w:rFonts w:hint="default" w:ascii="Times New Roman" w:hAnsi="Times New Roman" w:cs="Times New Roman"/>
                <w:color w:val="auto"/>
                <w:sz w:val="24"/>
                <w:szCs w:val="24"/>
              </w:rPr>
              <w:t>风机将</w:t>
            </w:r>
            <w:r>
              <w:rPr>
                <w:rFonts w:hint="eastAsia" w:ascii="Times New Roman" w:hAnsi="Times New Roman" w:cs="Times New Roman"/>
                <w:color w:val="auto"/>
                <w:sz w:val="24"/>
                <w:szCs w:val="24"/>
                <w:lang w:eastAsia="zh-CN"/>
              </w:rPr>
              <w:t>含尘气体</w:t>
            </w:r>
            <w:r>
              <w:rPr>
                <w:rFonts w:hint="default" w:ascii="Times New Roman" w:hAnsi="Times New Roman" w:cs="Times New Roman"/>
                <w:color w:val="auto"/>
                <w:sz w:val="24"/>
                <w:szCs w:val="24"/>
              </w:rPr>
              <w:t>引入</w:t>
            </w:r>
            <w:r>
              <w:rPr>
                <w:rFonts w:hint="eastAsia" w:ascii="Times New Roman" w:hAnsi="Times New Roman" w:cs="Times New Roman"/>
                <w:color w:val="auto"/>
                <w:sz w:val="24"/>
                <w:szCs w:val="24"/>
                <w:lang w:eastAsia="zh-CN"/>
              </w:rPr>
              <w:t>各自的高效脉冲</w:t>
            </w:r>
            <w:r>
              <w:rPr>
                <w:rFonts w:hint="default" w:ascii="Times New Roman" w:hAnsi="Times New Roman" w:cs="Times New Roman"/>
                <w:color w:val="auto"/>
                <w:sz w:val="24"/>
                <w:szCs w:val="24"/>
                <w:highlight w:val="none"/>
              </w:rPr>
              <w:t>布袋除尘器</w:t>
            </w:r>
            <w:r>
              <w:rPr>
                <w:rFonts w:hint="default" w:ascii="Times New Roman" w:hAnsi="Times New Roman" w:cs="Times New Roman"/>
                <w:color w:val="auto"/>
                <w:sz w:val="24"/>
                <w:szCs w:val="24"/>
                <w:highlight w:val="none"/>
                <w:lang w:eastAsia="zh-CN"/>
              </w:rPr>
              <w:t>中</w:t>
            </w:r>
            <w:r>
              <w:rPr>
                <w:rFonts w:hint="default" w:ascii="Times New Roman" w:hAnsi="Times New Roman" w:cs="Times New Roman"/>
                <w:color w:val="auto"/>
                <w:sz w:val="24"/>
                <w:szCs w:val="24"/>
                <w:highlight w:val="none"/>
              </w:rPr>
              <w:t>进行处理，处</w:t>
            </w:r>
            <w:r>
              <w:rPr>
                <w:rFonts w:hint="default" w:ascii="Times New Roman" w:hAnsi="Times New Roman" w:cs="Times New Roman"/>
                <w:color w:val="auto"/>
                <w:sz w:val="24"/>
                <w:szCs w:val="24"/>
                <w:highlight w:val="none"/>
                <w:lang w:eastAsia="zh-CN"/>
              </w:rPr>
              <w:t>理后的</w:t>
            </w:r>
            <w:r>
              <w:rPr>
                <w:rFonts w:hint="eastAsia" w:ascii="Times New Roman" w:hAnsi="Times New Roman" w:cs="Times New Roman"/>
                <w:color w:val="auto"/>
                <w:sz w:val="24"/>
                <w:szCs w:val="24"/>
                <w:highlight w:val="none"/>
                <w:lang w:eastAsia="zh-CN"/>
              </w:rPr>
              <w:t>颗粒物</w:t>
            </w:r>
            <w:r>
              <w:rPr>
                <w:rFonts w:hint="default" w:ascii="Times New Roman" w:hAnsi="Times New Roman" w:cs="Times New Roman"/>
                <w:color w:val="auto"/>
                <w:sz w:val="24"/>
                <w:szCs w:val="24"/>
                <w:highlight w:val="none"/>
                <w:lang w:eastAsia="zh-CN"/>
              </w:rPr>
              <w:t>经不低于</w:t>
            </w: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eastAsia="zh-CN"/>
              </w:rPr>
              <w:t>米高的排气筒</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DA001</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排放</w:t>
            </w:r>
            <w:r>
              <w:rPr>
                <w:rFonts w:hint="eastAsia"/>
                <w:color w:val="auto"/>
                <w:sz w:val="24"/>
                <w:szCs w:val="24"/>
                <w:highlight w:val="none"/>
                <w:lang w:val="en-US" w:eastAsia="zh-CN"/>
              </w:rPr>
              <w:t>。</w:t>
            </w:r>
          </w:p>
          <w:p>
            <w:pPr>
              <w:pStyle w:val="2"/>
              <w:rPr>
                <w:rFonts w:hint="eastAsia"/>
                <w:color w:val="auto"/>
                <w:sz w:val="24"/>
                <w:szCs w:val="24"/>
                <w:lang w:val="en-US" w:eastAsia="zh-CN"/>
              </w:rPr>
            </w:pPr>
          </w:p>
          <w:p>
            <w:pPr>
              <w:pStyle w:val="2"/>
              <w:rPr>
                <w:rFonts w:hint="eastAsia"/>
                <w:color w:val="auto"/>
                <w:sz w:val="24"/>
                <w:szCs w:val="24"/>
                <w:lang w:val="en-US" w:eastAsia="zh-CN"/>
              </w:rPr>
            </w:pPr>
          </w:p>
          <w:p>
            <w:pPr>
              <w:pStyle w:val="2"/>
              <w:rPr>
                <w:rFonts w:hint="eastAsia"/>
                <w:color w:val="auto"/>
                <w:sz w:val="24"/>
                <w:szCs w:val="24"/>
                <w:lang w:val="en-US" w:eastAsia="zh-CN"/>
              </w:rPr>
            </w:pPr>
          </w:p>
          <w:p>
            <w:pPr>
              <w:pStyle w:val="2"/>
              <w:rPr>
                <w:rFonts w:hint="eastAsia"/>
                <w:color w:val="auto"/>
                <w:sz w:val="24"/>
                <w:szCs w:val="24"/>
                <w:lang w:val="en-US" w:eastAsia="zh-CN"/>
              </w:rPr>
            </w:pPr>
          </w:p>
          <w:p>
            <w:pPr>
              <w:pStyle w:val="2"/>
              <w:rPr>
                <w:rFonts w:hint="eastAsia"/>
                <w:color w:val="auto"/>
                <w:sz w:val="24"/>
                <w:szCs w:val="24"/>
                <w:lang w:val="en-US" w:eastAsia="zh-CN"/>
              </w:rPr>
            </w:pPr>
            <w:r>
              <w:rPr>
                <w:sz w:val="24"/>
              </w:rPr>
              <mc:AlternateContent>
                <mc:Choice Requires="wps">
                  <w:drawing>
                    <wp:anchor distT="0" distB="0" distL="114300" distR="114300" simplePos="0" relativeHeight="251671552" behindDoc="0" locked="0" layoutInCell="1" allowOverlap="1">
                      <wp:simplePos x="0" y="0"/>
                      <wp:positionH relativeFrom="column">
                        <wp:posOffset>1238885</wp:posOffset>
                      </wp:positionH>
                      <wp:positionV relativeFrom="paragraph">
                        <wp:posOffset>108585</wp:posOffset>
                      </wp:positionV>
                      <wp:extent cx="2713990" cy="400050"/>
                      <wp:effectExtent l="0" t="0" r="10160" b="0"/>
                      <wp:wrapNone/>
                      <wp:docPr id="17" name="文本框 17"/>
                      <wp:cNvGraphicFramePr/>
                      <a:graphic xmlns:a="http://schemas.openxmlformats.org/drawingml/2006/main">
                        <a:graphicData uri="http://schemas.microsoft.com/office/word/2010/wordprocessingShape">
                          <wps:wsp>
                            <wps:cNvSpPr txBox="1"/>
                            <wps:spPr>
                              <a:xfrm>
                                <a:off x="0" y="0"/>
                                <a:ext cx="2713990" cy="400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4-1本项目废气收集和治理工艺流程图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55pt;margin-top:8.55pt;height:31.5pt;width:213.7pt;z-index:251671552;mso-width-relative:page;mso-height-relative:page;" fillcolor="#FFFFFF [3201]" filled="t" stroked="f" coordsize="21600,21600" o:gfxdata="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kyBtNQAAAAJAQAADwAAAAAA&#10;AAABACAAAAAiAAAAZHJzL2Rvd25yZXYueG1sUEsBAhQAFAAAAAgAh07iQO9H7JVQAgAAkQQAAA4A&#10;AAAAAAAAAQAgAAAAIwEAAGRycy9lMm9Eb2MueG1sUEsFBgAAAAAGAAYAWQEAAOUFAAAAAA==&#10;">
                      <v:fill on="t" focussize="0,0"/>
                      <v:stroke on="f" weight="0.5pt"/>
                      <v:imagedata o:title=""/>
                      <o:lock v:ext="edit" aspectratio="f"/>
                      <v:textbox>
                        <w:txbxContent>
                          <w:p>
                            <w:pP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4-1本项目废气收集和治理工艺流程图</w:t>
                            </w:r>
                          </w:p>
                        </w:txbxContent>
                      </v:textbox>
                    </v:shape>
                  </w:pict>
                </mc:Fallback>
              </mc:AlternateContent>
            </w:r>
          </w:p>
          <w:p>
            <w:pPr>
              <w:pStyle w:val="2"/>
              <w:rPr>
                <w:rFonts w:hint="eastAsia"/>
                <w:color w:val="auto"/>
                <w:sz w:val="24"/>
                <w:szCs w:val="24"/>
                <w:lang w:val="en-US" w:eastAsia="zh-CN"/>
              </w:rPr>
            </w:pPr>
          </w:p>
          <w:p>
            <w:pPr>
              <w:pStyle w:val="2"/>
              <w:rPr>
                <w:rFonts w:hint="eastAsia"/>
                <w:color w:val="auto"/>
                <w:sz w:val="24"/>
                <w:szCs w:val="24"/>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1.4环保设备的技术可行性</w:t>
            </w:r>
          </w:p>
          <w:p>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color w:val="auto"/>
                <w:sz w:val="24"/>
                <w:szCs w:val="24"/>
                <w:lang w:val="en-US" w:eastAsia="zh-CN"/>
              </w:rPr>
            </w:pPr>
            <w:r>
              <w:rPr>
                <w:rFonts w:hint="eastAsia"/>
                <w:color w:val="auto"/>
                <w:sz w:val="24"/>
                <w:szCs w:val="24"/>
                <w:lang w:val="en-US" w:eastAsia="zh-CN"/>
              </w:rPr>
              <w:t>（1）布袋除尘器</w:t>
            </w:r>
          </w:p>
          <w:p>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项目工业粉尘进入布袋除尘器内部，气流扩散后，均匀分布在布袋除尘器内部整个进气通道内，使气流流速大大降低，大多数粉尘沉降在灰斗中，经过初级除尘分离后的废气经过气体导流均布板，均匀分布到各个袋室及每个袋室的整个区域，整个气流组织分布相当均匀，且气体流速控制在合理的范围之内，这个过程实现了粉尘的二次沉降，经过二次粉尘沉降后的废气含尘量大大降低，在除尘器内部的负压作用下均匀缓慢穿过滤袋，粉尘被滤袋捕集，并在滤袋表面形成尘饼，净化后的较洁净废气经净气室及通道排出布袋除尘器。</w:t>
            </w:r>
          </w:p>
          <w:p>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由于布袋的截流、扩散、吸附等作用，使粉尘留在布袋及其缝隙中，除尘后的废气再经引风机及排气筒排出，随着浅袋表面积尘增多，滤袋两侧的压差也随之增加，当压差达到清灰设定值时，脉冲阀打开，储气罐中的压缩空气通过清灰风管及其喷嘴将压缩空气均匀唤入滤袋内完成一次清灰，清灰的脉冲时间和脉冲间隔时间可以根据废气负荷的情况自动进行调整，从而保证了布袋除尘器的持续、正常运行。</w:t>
            </w:r>
          </w:p>
          <w:p>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根据工程分析可知，本项目布袋除尘器治理措施可行。</w:t>
            </w:r>
          </w:p>
          <w:p>
            <w:pPr>
              <w:keepNext w:val="0"/>
              <w:keepLines w:val="0"/>
              <w:pageBreakBefore w:val="0"/>
              <w:widowControl w:val="0"/>
              <w:kinsoku/>
              <w:wordWrap/>
              <w:overflowPunct/>
              <w:topLinePunct w:val="0"/>
              <w:autoSpaceDE w:val="0"/>
              <w:autoSpaceDN w:val="0"/>
              <w:bidi w:val="0"/>
              <w:spacing w:line="500" w:lineRule="exact"/>
              <w:ind w:firstLine="482" w:firstLineChars="200"/>
              <w:jc w:val="left"/>
              <w:textAlignment w:val="auto"/>
              <w:rPr>
                <w:rFonts w:hint="eastAsia"/>
                <w:b/>
                <w:bCs/>
                <w:color w:val="auto"/>
                <w:sz w:val="24"/>
                <w:szCs w:val="24"/>
                <w:lang w:val="en-US" w:eastAsia="zh-CN"/>
              </w:rPr>
            </w:pPr>
            <w:r>
              <w:rPr>
                <w:rFonts w:hint="eastAsia"/>
                <w:b/>
                <w:bCs/>
                <w:color w:val="auto"/>
                <w:lang w:val="en-US"/>
              </w:rPr>
              <w:t>1.</w:t>
            </w:r>
            <w:r>
              <w:rPr>
                <w:rFonts w:hint="eastAsia"/>
                <w:b/>
                <w:bCs/>
                <w:color w:val="auto"/>
                <w:lang w:val="en-US" w:eastAsia="zh-CN"/>
              </w:rPr>
              <w:t>5</w:t>
            </w:r>
            <w:r>
              <w:rPr>
                <w:rFonts w:hint="eastAsia"/>
                <w:b/>
                <w:bCs/>
                <w:color w:val="auto"/>
                <w:sz w:val="24"/>
                <w:szCs w:val="24"/>
                <w:lang w:val="en-US" w:eastAsia="zh-CN"/>
              </w:rPr>
              <w:t>正常工况下废气达标分析</w:t>
            </w:r>
          </w:p>
          <w:p>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color w:val="auto"/>
                <w:sz w:val="24"/>
                <w:szCs w:val="24"/>
                <w:lang w:val="en-US" w:eastAsia="zh-CN"/>
              </w:rPr>
            </w:pPr>
            <w:r>
              <w:rPr>
                <w:rFonts w:hint="eastAsia"/>
                <w:color w:val="auto"/>
                <w:sz w:val="24"/>
                <w:szCs w:val="24"/>
                <w:lang w:val="en-US" w:eastAsia="zh-CN"/>
              </w:rPr>
              <w:t>（1）排气筒废气达标分析</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eastAsia="宋体" w:cs="Times New Roman"/>
                <w:b/>
                <w:bCs/>
                <w:color w:val="auto"/>
                <w:sz w:val="21"/>
                <w:szCs w:val="21"/>
                <w:lang w:val="en-US" w:eastAsia="zh-CN"/>
              </w:rPr>
              <w:t>4-</w:t>
            </w:r>
            <w:r>
              <w:rPr>
                <w:rFonts w:hint="eastAsia" w:cs="Times New Roman"/>
                <w:b/>
                <w:bCs/>
                <w:color w:val="auto"/>
                <w:sz w:val="21"/>
                <w:szCs w:val="21"/>
                <w:lang w:val="en-US" w:eastAsia="zh-CN"/>
              </w:rPr>
              <w:t>3</w:t>
            </w:r>
            <w:r>
              <w:rPr>
                <w:rFonts w:hint="eastAsia" w:ascii="Times New Roman" w:hAnsi="Times New Roman" w:cs="Times New Roman"/>
                <w:b/>
                <w:bCs/>
                <w:color w:val="auto"/>
                <w:sz w:val="21"/>
                <w:szCs w:val="21"/>
                <w:lang w:eastAsia="zh-CN"/>
              </w:rPr>
              <w:t>废气有组织排放及达标</w:t>
            </w:r>
            <w:r>
              <w:rPr>
                <w:rFonts w:hint="default" w:ascii="Times New Roman" w:hAnsi="Times New Roman" w:eastAsia="宋体" w:cs="Times New Roman"/>
                <w:b/>
                <w:bCs/>
                <w:color w:val="auto"/>
                <w:sz w:val="21"/>
                <w:szCs w:val="21"/>
              </w:rPr>
              <w:t>情况一览表</w:t>
            </w:r>
          </w:p>
          <w:tbl>
            <w:tblPr>
              <w:tblStyle w:val="15"/>
              <w:tblW w:w="48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870"/>
              <w:gridCol w:w="1056"/>
              <w:gridCol w:w="917"/>
              <w:gridCol w:w="902"/>
              <w:gridCol w:w="918"/>
              <w:gridCol w:w="721"/>
              <w:gridCol w:w="809"/>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19" w:type="pct"/>
                  <w:vMerge w:val="restart"/>
                  <w:tcBorders>
                    <w:tl2br w:val="nil"/>
                    <w:tr2bl w:val="nil"/>
                  </w:tcBorders>
                  <w:noWrap w:val="0"/>
                  <w:vAlign w:val="center"/>
                </w:tcPr>
                <w:p>
                  <w:pPr>
                    <w:pStyle w:val="28"/>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位置</w:t>
                  </w:r>
                </w:p>
              </w:tc>
              <w:tc>
                <w:tcPr>
                  <w:tcW w:w="548" w:type="pct"/>
                  <w:vMerge w:val="restart"/>
                  <w:tcBorders>
                    <w:tl2br w:val="nil"/>
                    <w:tr2bl w:val="nil"/>
                  </w:tcBorders>
                  <w:noWrap w:val="0"/>
                  <w:vAlign w:val="center"/>
                </w:tcPr>
                <w:p>
                  <w:pPr>
                    <w:pStyle w:val="28"/>
                    <w:ind w:left="0" w:leftChars="0" w:right="0" w:rightChars="0" w:firstLine="0" w:firstLineChars="0"/>
                    <w:jc w:val="center"/>
                    <w:rPr>
                      <w:rFonts w:hint="default" w:ascii="Times New Roman" w:hAnsi="Times New Roman" w:eastAsia="宋体" w:cs="Times New Roman"/>
                      <w:b/>
                      <w:bCs/>
                      <w:color w:val="auto"/>
                      <w:sz w:val="21"/>
                      <w:szCs w:val="21"/>
                      <w:lang w:val="zh-CN" w:eastAsia="zh-CN" w:bidi="zh-CN"/>
                    </w:rPr>
                  </w:pPr>
                  <w:r>
                    <w:rPr>
                      <w:rFonts w:hint="default" w:ascii="Times New Roman" w:hAnsi="Times New Roman" w:cs="Times New Roman"/>
                      <w:b/>
                      <w:bCs/>
                      <w:color w:val="auto"/>
                      <w:sz w:val="21"/>
                      <w:szCs w:val="21"/>
                      <w:lang w:eastAsia="zh-CN"/>
                    </w:rPr>
                    <w:t>污染物</w:t>
                  </w:r>
                </w:p>
              </w:tc>
              <w:tc>
                <w:tcPr>
                  <w:tcW w:w="665" w:type="pct"/>
                  <w:vMerge w:val="restart"/>
                  <w:tcBorders>
                    <w:tl2br w:val="nil"/>
                    <w:tr2bl w:val="nil"/>
                  </w:tcBorders>
                  <w:noWrap w:val="0"/>
                  <w:vAlign w:val="center"/>
                </w:tcPr>
                <w:p>
                  <w:pPr>
                    <w:pStyle w:val="28"/>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废气量</w:t>
                  </w:r>
                </w:p>
              </w:tc>
              <w:tc>
                <w:tcPr>
                  <w:tcW w:w="577" w:type="pct"/>
                  <w:vMerge w:val="restart"/>
                  <w:tcBorders>
                    <w:tl2br w:val="nil"/>
                    <w:tr2bl w:val="nil"/>
                  </w:tcBorders>
                  <w:noWrap w:val="0"/>
                  <w:vAlign w:val="center"/>
                </w:tcPr>
                <w:p>
                  <w:pPr>
                    <w:pStyle w:val="28"/>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highlight w:val="none"/>
                      <w:lang w:val="en-US" w:eastAsia="zh-CN"/>
                    </w:rPr>
                    <w:t>排放高度（m）</w:t>
                  </w:r>
                </w:p>
              </w:tc>
              <w:tc>
                <w:tcPr>
                  <w:tcW w:w="1146" w:type="pct"/>
                  <w:gridSpan w:val="2"/>
                  <w:tcBorders>
                    <w:tl2br w:val="nil"/>
                    <w:tr2bl w:val="nil"/>
                  </w:tcBorders>
                  <w:noWrap w:val="0"/>
                  <w:vAlign w:val="center"/>
                </w:tcPr>
                <w:p>
                  <w:pPr>
                    <w:pStyle w:val="28"/>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排放情况</w:t>
                  </w:r>
                </w:p>
              </w:tc>
              <w:tc>
                <w:tcPr>
                  <w:tcW w:w="963" w:type="pct"/>
                  <w:gridSpan w:val="2"/>
                  <w:tcBorders>
                    <w:tl2br w:val="nil"/>
                    <w:tr2bl w:val="nil"/>
                  </w:tcBorders>
                  <w:noWrap w:val="0"/>
                  <w:vAlign w:val="center"/>
                </w:tcPr>
                <w:p>
                  <w:pPr>
                    <w:pStyle w:val="28"/>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排放标准</w:t>
                  </w:r>
                </w:p>
              </w:tc>
              <w:tc>
                <w:tcPr>
                  <w:tcW w:w="478" w:type="pct"/>
                  <w:vMerge w:val="restart"/>
                  <w:tcBorders>
                    <w:tl2br w:val="nil"/>
                    <w:tr2bl w:val="nil"/>
                  </w:tcBorders>
                  <w:noWrap w:val="0"/>
                  <w:vAlign w:val="center"/>
                </w:tcPr>
                <w:p>
                  <w:pPr>
                    <w:pStyle w:val="28"/>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19" w:type="pct"/>
                  <w:vMerge w:val="continue"/>
                  <w:tcBorders>
                    <w:tl2br w:val="nil"/>
                    <w:tr2bl w:val="nil"/>
                  </w:tcBorders>
                  <w:noWrap w:val="0"/>
                  <w:vAlign w:val="center"/>
                </w:tcPr>
                <w:p>
                  <w:pPr>
                    <w:pStyle w:val="28"/>
                    <w:jc w:val="center"/>
                    <w:rPr>
                      <w:rFonts w:hint="default" w:ascii="Times New Roman" w:hAnsi="Times New Roman" w:eastAsia="宋体" w:cs="Times New Roman"/>
                      <w:b/>
                      <w:bCs/>
                      <w:color w:val="auto"/>
                      <w:sz w:val="21"/>
                      <w:szCs w:val="21"/>
                    </w:rPr>
                  </w:pPr>
                </w:p>
              </w:tc>
              <w:tc>
                <w:tcPr>
                  <w:tcW w:w="548" w:type="pct"/>
                  <w:vMerge w:val="continue"/>
                  <w:tcBorders>
                    <w:tl2br w:val="nil"/>
                    <w:tr2bl w:val="nil"/>
                  </w:tcBorders>
                  <w:noWrap w:val="0"/>
                  <w:vAlign w:val="center"/>
                </w:tcPr>
                <w:p>
                  <w:pPr>
                    <w:pStyle w:val="28"/>
                    <w:ind w:left="0" w:leftChars="0" w:right="0" w:rightChars="0" w:firstLine="0" w:firstLineChars="0"/>
                    <w:jc w:val="center"/>
                    <w:rPr>
                      <w:rFonts w:hint="default" w:ascii="Times New Roman" w:hAnsi="Times New Roman" w:eastAsia="宋体" w:cs="Times New Roman"/>
                      <w:b/>
                      <w:bCs/>
                      <w:color w:val="auto"/>
                      <w:sz w:val="21"/>
                      <w:szCs w:val="21"/>
                      <w:lang w:val="zh-CN" w:eastAsia="zh-CN" w:bidi="zh-CN"/>
                    </w:rPr>
                  </w:pPr>
                </w:p>
              </w:tc>
              <w:tc>
                <w:tcPr>
                  <w:tcW w:w="665" w:type="pct"/>
                  <w:vMerge w:val="continue"/>
                  <w:tcBorders>
                    <w:tl2br w:val="nil"/>
                    <w:tr2bl w:val="nil"/>
                  </w:tcBorders>
                  <w:noWrap w:val="0"/>
                  <w:vAlign w:val="center"/>
                </w:tcPr>
                <w:p>
                  <w:pPr>
                    <w:pStyle w:val="28"/>
                    <w:jc w:val="center"/>
                    <w:rPr>
                      <w:rFonts w:hint="default" w:ascii="Times New Roman" w:hAnsi="Times New Roman" w:eastAsia="宋体" w:cs="Times New Roman"/>
                      <w:b/>
                      <w:bCs/>
                      <w:color w:val="auto"/>
                      <w:sz w:val="21"/>
                      <w:szCs w:val="21"/>
                    </w:rPr>
                  </w:pPr>
                </w:p>
              </w:tc>
              <w:tc>
                <w:tcPr>
                  <w:tcW w:w="577" w:type="pct"/>
                  <w:vMerge w:val="continue"/>
                  <w:tcBorders>
                    <w:tl2br w:val="nil"/>
                    <w:tr2bl w:val="nil"/>
                  </w:tcBorders>
                  <w:noWrap w:val="0"/>
                  <w:vAlign w:val="center"/>
                </w:tcPr>
                <w:p>
                  <w:pPr>
                    <w:pStyle w:val="28"/>
                    <w:jc w:val="center"/>
                    <w:rPr>
                      <w:rFonts w:hint="default" w:ascii="Times New Roman" w:hAnsi="Times New Roman" w:eastAsia="宋体" w:cs="Times New Roman"/>
                      <w:b/>
                      <w:bCs/>
                      <w:color w:val="auto"/>
                      <w:sz w:val="21"/>
                      <w:szCs w:val="21"/>
                      <w:lang w:eastAsia="zh-CN"/>
                    </w:rPr>
                  </w:pPr>
                </w:p>
              </w:tc>
              <w:tc>
                <w:tcPr>
                  <w:tcW w:w="568" w:type="pct"/>
                  <w:tcBorders>
                    <w:tl2br w:val="nil"/>
                    <w:tr2bl w:val="nil"/>
                  </w:tcBorders>
                  <w:noWrap w:val="0"/>
                  <w:vAlign w:val="center"/>
                </w:tcPr>
                <w:p>
                  <w:pPr>
                    <w:pStyle w:val="28"/>
                    <w:ind w:left="0" w:leftChars="0" w:right="0" w:rightChars="0" w:firstLine="0" w:firstLineChars="0"/>
                    <w:jc w:val="center"/>
                    <w:rPr>
                      <w:rFonts w:hint="default" w:ascii="Times New Roman" w:hAnsi="Times New Roman" w:eastAsia="宋体" w:cs="Times New Roman"/>
                      <w:b/>
                      <w:bCs/>
                      <w:color w:val="auto"/>
                      <w:sz w:val="21"/>
                      <w:szCs w:val="21"/>
                      <w:lang w:val="en-US" w:eastAsia="zh-CN" w:bidi="zh-CN"/>
                    </w:rPr>
                  </w:pPr>
                  <w:r>
                    <w:rPr>
                      <w:rFonts w:hint="default" w:ascii="Times New Roman" w:hAnsi="Times New Roman" w:cs="Times New Roman"/>
                      <w:b/>
                      <w:bCs/>
                      <w:color w:val="auto"/>
                      <w:sz w:val="21"/>
                      <w:szCs w:val="21"/>
                      <w:lang w:eastAsia="zh-CN"/>
                    </w:rPr>
                    <w:t>速率</w:t>
                  </w:r>
                  <w:r>
                    <w:rPr>
                      <w:rFonts w:hint="default" w:ascii="Times New Roman" w:hAnsi="Times New Roman" w:cs="Times New Roman"/>
                      <w:b/>
                      <w:bCs/>
                      <w:color w:val="auto"/>
                      <w:sz w:val="21"/>
                      <w:szCs w:val="21"/>
                      <w:lang w:val="en-US" w:eastAsia="zh-CN"/>
                    </w:rPr>
                    <w:t>kg</w:t>
                  </w:r>
                  <w:r>
                    <w:rPr>
                      <w:rFonts w:hint="default" w:ascii="Times New Roman" w:hAnsi="Times New Roman" w:eastAsia="宋体" w:cs="Times New Roman"/>
                      <w:b/>
                      <w:bCs/>
                      <w:color w:val="auto"/>
                      <w:sz w:val="21"/>
                      <w:szCs w:val="21"/>
                    </w:rPr>
                    <w:t>/</w:t>
                  </w:r>
                  <w:r>
                    <w:rPr>
                      <w:rFonts w:hint="default" w:ascii="Times New Roman" w:hAnsi="Times New Roman" w:cs="Times New Roman"/>
                      <w:b/>
                      <w:bCs/>
                      <w:color w:val="auto"/>
                      <w:sz w:val="21"/>
                      <w:szCs w:val="21"/>
                      <w:lang w:val="en-US" w:eastAsia="zh-CN"/>
                    </w:rPr>
                    <w:t>h</w:t>
                  </w:r>
                </w:p>
              </w:tc>
              <w:tc>
                <w:tcPr>
                  <w:tcW w:w="578" w:type="pct"/>
                  <w:tcBorders>
                    <w:tl2br w:val="nil"/>
                    <w:tr2bl w:val="nil"/>
                  </w:tcBorders>
                  <w:noWrap w:val="0"/>
                  <w:vAlign w:val="center"/>
                </w:tcPr>
                <w:p>
                  <w:pPr>
                    <w:pStyle w:val="28"/>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eastAsia="zh-CN"/>
                    </w:rPr>
                    <w:t>浓度</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454" w:type="pct"/>
                  <w:tcBorders>
                    <w:tl2br w:val="nil"/>
                    <w:tr2bl w:val="nil"/>
                  </w:tcBorders>
                  <w:noWrap w:val="0"/>
                  <w:vAlign w:val="center"/>
                </w:tcPr>
                <w:p>
                  <w:pPr>
                    <w:pStyle w:val="28"/>
                    <w:ind w:left="0" w:leftChars="0" w:right="0" w:rightChars="0" w:firstLine="0" w:firstLineChars="0"/>
                    <w:jc w:val="center"/>
                    <w:rPr>
                      <w:rFonts w:hint="default" w:ascii="Times New Roman" w:hAnsi="Times New Roman" w:eastAsia="宋体" w:cs="Times New Roman"/>
                      <w:b/>
                      <w:bCs/>
                      <w:color w:val="auto"/>
                      <w:sz w:val="21"/>
                      <w:szCs w:val="21"/>
                      <w:lang w:val="en-US" w:eastAsia="zh-CN" w:bidi="zh-CN"/>
                    </w:rPr>
                  </w:pPr>
                  <w:r>
                    <w:rPr>
                      <w:rFonts w:hint="default" w:ascii="Times New Roman" w:hAnsi="Times New Roman" w:cs="Times New Roman"/>
                      <w:b/>
                      <w:bCs/>
                      <w:color w:val="auto"/>
                      <w:sz w:val="21"/>
                      <w:szCs w:val="21"/>
                      <w:lang w:val="en-US" w:eastAsia="zh-CN"/>
                    </w:rPr>
                    <w:t>速率kg</w:t>
                  </w:r>
                  <w:r>
                    <w:rPr>
                      <w:rFonts w:hint="default" w:ascii="Times New Roman" w:hAnsi="Times New Roman" w:eastAsia="宋体" w:cs="Times New Roman"/>
                      <w:b/>
                      <w:bCs/>
                      <w:color w:val="auto"/>
                      <w:sz w:val="21"/>
                      <w:szCs w:val="21"/>
                    </w:rPr>
                    <w:t>/</w:t>
                  </w:r>
                  <w:r>
                    <w:rPr>
                      <w:rFonts w:hint="default" w:ascii="Times New Roman" w:hAnsi="Times New Roman" w:cs="Times New Roman"/>
                      <w:b/>
                      <w:bCs/>
                      <w:color w:val="auto"/>
                      <w:sz w:val="21"/>
                      <w:szCs w:val="21"/>
                      <w:lang w:val="en-US" w:eastAsia="zh-CN"/>
                    </w:rPr>
                    <w:t>h</w:t>
                  </w:r>
                </w:p>
              </w:tc>
              <w:tc>
                <w:tcPr>
                  <w:tcW w:w="509" w:type="pct"/>
                  <w:tcBorders>
                    <w:tl2br w:val="nil"/>
                    <w:tr2bl w:val="nil"/>
                  </w:tcBorders>
                  <w:noWrap w:val="0"/>
                  <w:vAlign w:val="center"/>
                </w:tcPr>
                <w:p>
                  <w:pPr>
                    <w:pStyle w:val="28"/>
                    <w:ind w:left="0" w:leftChars="0" w:right="0" w:rightChars="0" w:firstLine="0" w:firstLineChars="0"/>
                    <w:jc w:val="center"/>
                    <w:rPr>
                      <w:rFonts w:hint="default" w:ascii="Times New Roman" w:hAnsi="Times New Roman" w:eastAsia="宋体" w:cs="Times New Roman"/>
                      <w:b/>
                      <w:bCs/>
                      <w:color w:val="auto"/>
                      <w:sz w:val="21"/>
                      <w:szCs w:val="21"/>
                      <w:lang w:val="zh-CN" w:eastAsia="zh-CN" w:bidi="zh-CN"/>
                    </w:rPr>
                  </w:pPr>
                  <w:r>
                    <w:rPr>
                      <w:rFonts w:hint="default" w:ascii="Times New Roman" w:hAnsi="Times New Roman" w:eastAsia="宋体" w:cs="Times New Roman"/>
                      <w:b/>
                      <w:bCs/>
                      <w:color w:val="auto"/>
                      <w:sz w:val="21"/>
                      <w:szCs w:val="21"/>
                      <w:lang w:eastAsia="zh-CN"/>
                    </w:rPr>
                    <w:t>浓度</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478" w:type="pct"/>
                  <w:vMerge w:val="continue"/>
                  <w:tcBorders>
                    <w:tl2br w:val="nil"/>
                    <w:tr2bl w:val="nil"/>
                  </w:tcBorders>
                  <w:noWrap w:val="0"/>
                  <w:vAlign w:val="center"/>
                </w:tcPr>
                <w:p>
                  <w:pPr>
                    <w:pStyle w:val="28"/>
                    <w:ind w:firstLine="0" w:firstLineChars="0"/>
                    <w:jc w:val="center"/>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19" w:type="pct"/>
                  <w:tcBorders>
                    <w:tl2br w:val="nil"/>
                    <w:tr2bl w:val="nil"/>
                  </w:tcBorders>
                  <w:noWrap w:val="0"/>
                  <w:vAlign w:val="center"/>
                </w:tcPr>
                <w:p>
                  <w:pPr>
                    <w:pStyle w:val="28"/>
                    <w:ind w:left="0" w:leftChars="0" w:right="0" w:rightChars="0" w:firstLine="0" w:firstLineChars="0"/>
                    <w:jc w:val="center"/>
                    <w:rPr>
                      <w:rFonts w:hint="default" w:ascii="Times New Roman" w:hAnsi="Times New Roman" w:cs="Times New Roman"/>
                      <w:color w:val="auto"/>
                      <w:spacing w:val="0"/>
                      <w:sz w:val="21"/>
                      <w:szCs w:val="21"/>
                      <w:lang w:val="en-US" w:eastAsia="zh-CN"/>
                    </w:rPr>
                  </w:pPr>
                  <w:r>
                    <w:rPr>
                      <w:rFonts w:hint="eastAsia" w:cs="Times New Roman"/>
                      <w:color w:val="auto"/>
                      <w:spacing w:val="0"/>
                      <w:sz w:val="21"/>
                      <w:szCs w:val="21"/>
                      <w:lang w:val="en-US" w:eastAsia="zh-CN"/>
                    </w:rPr>
                    <w:t>DA001</w:t>
                  </w:r>
                </w:p>
              </w:tc>
              <w:tc>
                <w:tcPr>
                  <w:tcW w:w="548" w:type="pct"/>
                  <w:tcBorders>
                    <w:tl2br w:val="nil"/>
                    <w:tr2bl w:val="nil"/>
                  </w:tcBorders>
                  <w:noWrap w:val="0"/>
                  <w:vAlign w:val="center"/>
                </w:tcPr>
                <w:p>
                  <w:pPr>
                    <w:pStyle w:val="28"/>
                    <w:ind w:left="0" w:leftChars="0" w:right="0" w:rightChars="0" w:firstLine="0" w:firstLineChars="0"/>
                    <w:jc w:val="center"/>
                    <w:rPr>
                      <w:rFonts w:hint="default" w:ascii="Times New Roman" w:hAnsi="Times New Roman" w:eastAsia="宋体" w:cs="Times New Roman"/>
                      <w:color w:val="auto"/>
                      <w:sz w:val="21"/>
                      <w:szCs w:val="21"/>
                      <w:lang w:val="zh-CN" w:eastAsia="zh-CN" w:bidi="zh-CN"/>
                    </w:rPr>
                  </w:pPr>
                  <w:r>
                    <w:rPr>
                      <w:rFonts w:hint="default" w:ascii="Times New Roman" w:hAnsi="Times New Roman" w:cs="Times New Roman"/>
                      <w:color w:val="auto"/>
                      <w:sz w:val="21"/>
                      <w:szCs w:val="21"/>
                      <w:lang w:val="en-US" w:eastAsia="zh-CN"/>
                    </w:rPr>
                    <w:t>颗粒物</w:t>
                  </w:r>
                </w:p>
              </w:tc>
              <w:tc>
                <w:tcPr>
                  <w:tcW w:w="665" w:type="pct"/>
                  <w:tcBorders>
                    <w:tl2br w:val="nil"/>
                    <w:tr2bl w:val="nil"/>
                  </w:tcBorders>
                  <w:noWrap w:val="0"/>
                  <w:vAlign w:val="center"/>
                </w:tcPr>
                <w:p>
                  <w:pPr>
                    <w:pStyle w:val="28"/>
                    <w:ind w:left="0" w:leftChars="0" w:right="0" w:rightChars="0" w:firstLine="0" w:firstLineChars="0"/>
                    <w:jc w:val="center"/>
                    <w:rPr>
                      <w:rFonts w:hint="default" w:ascii="Times New Roman" w:hAnsi="Times New Roman" w:eastAsia="宋体" w:cs="Times New Roman"/>
                      <w:b w:val="0"/>
                      <w:bCs w:val="0"/>
                      <w:color w:val="auto"/>
                      <w:sz w:val="21"/>
                      <w:szCs w:val="21"/>
                      <w:lang w:val="en-US" w:eastAsia="zh-CN" w:bidi="zh-CN"/>
                    </w:rPr>
                  </w:pPr>
                  <w:r>
                    <w:rPr>
                      <w:rFonts w:hint="default" w:ascii="Times New Roman" w:hAnsi="Times New Roman" w:cs="Times New Roman"/>
                      <w:b w:val="0"/>
                      <w:bCs w:val="0"/>
                      <w:color w:val="auto"/>
                      <w:sz w:val="21"/>
                      <w:szCs w:val="21"/>
                      <w:lang w:val="en-US" w:eastAsia="zh-CN"/>
                    </w:rPr>
                    <w:t>300</w:t>
                  </w:r>
                  <w:r>
                    <w:rPr>
                      <w:rFonts w:hint="eastAsia" w:cs="Times New Roman"/>
                      <w:b w:val="0"/>
                      <w:bCs w:val="0"/>
                      <w:color w:val="auto"/>
                      <w:sz w:val="21"/>
                      <w:szCs w:val="21"/>
                      <w:lang w:val="en-US" w:eastAsia="zh-CN"/>
                    </w:rPr>
                    <w:t>0</w:t>
                  </w:r>
                  <w:r>
                    <w:rPr>
                      <w:rFonts w:hint="default" w:ascii="Times New Roman" w:hAnsi="Times New Roman"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r>
                    <w:rPr>
                      <w:rFonts w:hint="default" w:ascii="Times New Roman" w:hAnsi="Times New Roman" w:cs="Times New Roman"/>
                      <w:b w:val="0"/>
                      <w:bCs w:val="0"/>
                      <w:color w:val="auto"/>
                      <w:sz w:val="21"/>
                      <w:szCs w:val="21"/>
                      <w:lang w:val="en-US" w:eastAsia="zh-CN"/>
                    </w:rPr>
                    <w:t>h</w:t>
                  </w:r>
                </w:p>
              </w:tc>
              <w:tc>
                <w:tcPr>
                  <w:tcW w:w="577" w:type="pct"/>
                  <w:tcBorders>
                    <w:tl2br w:val="nil"/>
                    <w:tr2bl w:val="nil"/>
                  </w:tcBorders>
                  <w:noWrap w:val="0"/>
                  <w:vAlign w:val="center"/>
                </w:tcPr>
                <w:p>
                  <w:pPr>
                    <w:pStyle w:val="28"/>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20</w:t>
                  </w:r>
                </w:p>
              </w:tc>
              <w:tc>
                <w:tcPr>
                  <w:tcW w:w="568" w:type="pc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0.8</w:t>
                  </w:r>
                </w:p>
              </w:tc>
              <w:tc>
                <w:tcPr>
                  <w:tcW w:w="578" w:type="pc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26.67</w:t>
                  </w:r>
                </w:p>
              </w:tc>
              <w:tc>
                <w:tcPr>
                  <w:tcW w:w="454" w:type="pct"/>
                  <w:tcBorders>
                    <w:tl2br w:val="nil"/>
                    <w:tr2bl w:val="nil"/>
                  </w:tcBorders>
                  <w:noWrap w:val="0"/>
                  <w:vAlign w:val="center"/>
                </w:tcPr>
                <w:p>
                  <w:pPr>
                    <w:pStyle w:val="28"/>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highlight w:val="none"/>
                      <w:lang w:val="en-US" w:eastAsia="zh-CN"/>
                    </w:rPr>
                    <w:t>3.5</w:t>
                  </w:r>
                </w:p>
              </w:tc>
              <w:tc>
                <w:tcPr>
                  <w:tcW w:w="509" w:type="pct"/>
                  <w:tcBorders>
                    <w:tl2br w:val="nil"/>
                    <w:tr2bl w:val="nil"/>
                  </w:tcBorders>
                  <w:noWrap w:val="0"/>
                  <w:vAlign w:val="center"/>
                </w:tcPr>
                <w:p>
                  <w:pPr>
                    <w:pStyle w:val="28"/>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rPr>
                    <w:t>120</w:t>
                  </w:r>
                </w:p>
              </w:tc>
              <w:tc>
                <w:tcPr>
                  <w:tcW w:w="478" w:type="pct"/>
                  <w:tcBorders>
                    <w:tl2br w:val="nil"/>
                    <w:tr2bl w:val="nil"/>
                  </w:tcBorders>
                  <w:noWrap w:val="0"/>
                  <w:vAlign w:val="center"/>
                </w:tcPr>
                <w:p>
                  <w:pPr>
                    <w:pStyle w:val="28"/>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lang w:val="en-US" w:eastAsia="zh-CN"/>
                    </w:rPr>
                    <w:t>达标</w:t>
                  </w:r>
                </w:p>
              </w:tc>
            </w:tr>
          </w:tbl>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both"/>
              <w:textAlignment w:val="auto"/>
              <w:rPr>
                <w:rFonts w:hint="default"/>
                <w:color w:val="auto"/>
                <w:lang w:val="en-US"/>
              </w:rPr>
            </w:pPr>
            <w:r>
              <w:rPr>
                <w:rFonts w:hint="default"/>
                <w:color w:val="auto"/>
                <w:lang w:val="en-US" w:eastAsia="zh-CN"/>
              </w:rPr>
              <w:t>由上表可知，排气筒</w:t>
            </w:r>
            <w:r>
              <w:rPr>
                <w:rFonts w:hint="eastAsia"/>
                <w:color w:val="auto"/>
                <w:lang w:val="en-US" w:eastAsia="zh-CN"/>
              </w:rPr>
              <w:t>（DA001）</w:t>
            </w:r>
            <w:r>
              <w:rPr>
                <w:rFonts w:hint="default"/>
                <w:color w:val="auto"/>
                <w:lang w:val="en-US" w:eastAsia="zh-CN"/>
              </w:rPr>
              <w:t>排放浓度均满足</w:t>
            </w:r>
            <w:r>
              <w:rPr>
                <w:rFonts w:hint="default"/>
                <w:color w:val="auto"/>
              </w:rPr>
              <w:t>《大气污染物综合排放标准》（GB16297-1996）表2中二级标准：颗粒物有组织排放浓度120mg/Nm</w:t>
            </w:r>
            <w:r>
              <w:rPr>
                <w:rFonts w:hint="default"/>
                <w:color w:val="auto"/>
                <w:vertAlign w:val="superscript"/>
              </w:rPr>
              <w:t>3</w:t>
            </w:r>
            <w:r>
              <w:rPr>
                <w:rFonts w:hint="default"/>
                <w:color w:val="auto"/>
              </w:rPr>
              <w:t>，排放速率</w:t>
            </w:r>
            <w:r>
              <w:rPr>
                <w:rFonts w:hint="default"/>
                <w:color w:val="auto"/>
                <w:lang w:val="en-US" w:eastAsia="zh-CN"/>
              </w:rPr>
              <w:t>3.5</w:t>
            </w:r>
            <w:r>
              <w:rPr>
                <w:rFonts w:hint="default"/>
                <w:color w:val="auto"/>
              </w:rPr>
              <w:t>kg/h，排气筒高度</w:t>
            </w:r>
            <w:r>
              <w:rPr>
                <w:rFonts w:hint="default"/>
                <w:color w:val="auto"/>
                <w:lang w:val="en-US" w:eastAsia="zh-CN"/>
              </w:rPr>
              <w:t>15m</w:t>
            </w:r>
            <w:r>
              <w:rPr>
                <w:rFonts w:hint="eastAsia"/>
                <w:color w:val="auto"/>
                <w:lang w:val="en-US" w:eastAsia="zh-CN"/>
              </w:rPr>
              <w:t>，</w:t>
            </w:r>
            <w:r>
              <w:rPr>
                <w:rFonts w:hint="default" w:ascii="Times New Roman" w:hAnsi="Times New Roman" w:eastAsia="宋体" w:cs="Times New Roman"/>
                <w:color w:val="auto"/>
                <w:lang w:val="en-US" w:eastAsia="zh-CN"/>
              </w:rPr>
              <w:t>还应高出周围200m半径范围的建筑物5m以上</w:t>
            </w:r>
            <w:r>
              <w:rPr>
                <w:rFonts w:hint="default" w:ascii="Times New Roman" w:hAnsi="Times New Roman" w:cs="Times New Roman"/>
                <w:color w:val="auto"/>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22" w:firstLineChars="20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b/>
                <w:bCs/>
                <w:color w:val="auto"/>
                <w:sz w:val="21"/>
                <w:szCs w:val="21"/>
                <w:highlight w:val="none"/>
              </w:rPr>
              <w:t>表</w:t>
            </w:r>
            <w:r>
              <w:rPr>
                <w:rFonts w:hint="eastAsia"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采用的无组织面源参数调查清单</w:t>
            </w:r>
          </w:p>
          <w:tbl>
            <w:tblPr>
              <w:tblStyle w:val="1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0" w:type="dxa"/>
                <w:bottom w:w="0" w:type="dxa"/>
                <w:right w:w="0" w:type="dxa"/>
              </w:tblCellMar>
            </w:tblPr>
            <w:tblGrid>
              <w:gridCol w:w="527"/>
              <w:gridCol w:w="566"/>
              <w:gridCol w:w="1434"/>
              <w:gridCol w:w="1400"/>
              <w:gridCol w:w="745"/>
              <w:gridCol w:w="738"/>
              <w:gridCol w:w="600"/>
              <w:gridCol w:w="773"/>
              <w:gridCol w:w="12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0" w:type="dxa"/>
                  <w:bottom w:w="0" w:type="dxa"/>
                  <w:right w:w="0" w:type="dxa"/>
                </w:tblCellMar>
              </w:tblPrEx>
              <w:trPr>
                <w:trHeight w:val="329" w:hRule="atLeast"/>
                <w:jc w:val="center"/>
              </w:trPr>
              <w:tc>
                <w:tcPr>
                  <w:tcW w:w="527"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编号</w:t>
                  </w:r>
                </w:p>
              </w:tc>
              <w:tc>
                <w:tcPr>
                  <w:tcW w:w="566"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名称</w:t>
                  </w:r>
                </w:p>
              </w:tc>
              <w:tc>
                <w:tcPr>
                  <w:tcW w:w="2834" w:type="dxa"/>
                  <w:gridSpan w:val="2"/>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面源</w:t>
                  </w:r>
                  <w:r>
                    <w:rPr>
                      <w:rFonts w:hint="eastAsia" w:cs="Times New Roman"/>
                      <w:snapToGrid w:val="0"/>
                      <w:color w:val="auto"/>
                      <w:sz w:val="21"/>
                      <w:szCs w:val="21"/>
                      <w:highlight w:val="none"/>
                      <w:lang w:val="zh-CN"/>
                    </w:rPr>
                    <w:t>起始点</w:t>
                  </w:r>
                  <w:r>
                    <w:rPr>
                      <w:rFonts w:hint="default" w:ascii="Times New Roman" w:hAnsi="Times New Roman" w:eastAsia="宋体" w:cs="Times New Roman"/>
                      <w:snapToGrid w:val="0"/>
                      <w:color w:val="auto"/>
                      <w:sz w:val="21"/>
                      <w:szCs w:val="21"/>
                      <w:highlight w:val="none"/>
                      <w:lang w:val="zh-CN"/>
                    </w:rPr>
                    <w:t>坐标</w:t>
                  </w:r>
                  <w:r>
                    <w:rPr>
                      <w:rFonts w:hint="default" w:ascii="Times New Roman" w:hAnsi="Times New Roman" w:eastAsia="宋体" w:cs="Times New Roman"/>
                      <w:snapToGrid w:val="0"/>
                      <w:color w:val="auto"/>
                      <w:sz w:val="21"/>
                      <w:szCs w:val="21"/>
                      <w:highlight w:val="none"/>
                    </w:rPr>
                    <w:t>/m</w:t>
                  </w:r>
                </w:p>
              </w:tc>
              <w:tc>
                <w:tcPr>
                  <w:tcW w:w="745"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0000FF"/>
                      <w:sz w:val="21"/>
                      <w:szCs w:val="21"/>
                      <w:highlight w:val="none"/>
                    </w:rPr>
                  </w:pPr>
                  <w:r>
                    <w:rPr>
                      <w:rFonts w:hint="eastAsia" w:cs="Times New Roman"/>
                      <w:snapToGrid w:val="0"/>
                      <w:color w:val="auto"/>
                      <w:sz w:val="21"/>
                      <w:szCs w:val="21"/>
                      <w:highlight w:val="none"/>
                      <w:lang w:val="en-US" w:eastAsia="zh-CN"/>
                    </w:rPr>
                    <w:t>面源海拔高度（m）</w:t>
                  </w:r>
                </w:p>
              </w:tc>
              <w:tc>
                <w:tcPr>
                  <w:tcW w:w="738"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面源有效排放高度</w:t>
                  </w:r>
                  <w:r>
                    <w:rPr>
                      <w:rFonts w:hint="default" w:ascii="Times New Roman" w:hAnsi="Times New Roman" w:eastAsia="宋体" w:cs="Times New Roman"/>
                      <w:snapToGrid w:val="0"/>
                      <w:color w:val="auto"/>
                      <w:sz w:val="21"/>
                      <w:szCs w:val="21"/>
                      <w:highlight w:val="none"/>
                    </w:rPr>
                    <w:t>/m</w:t>
                  </w:r>
                </w:p>
              </w:tc>
              <w:tc>
                <w:tcPr>
                  <w:tcW w:w="600"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年排放小时数</w:t>
                  </w:r>
                  <w:r>
                    <w:rPr>
                      <w:rFonts w:hint="default" w:ascii="Times New Roman" w:hAnsi="Times New Roman" w:eastAsia="宋体" w:cs="Times New Roman"/>
                      <w:snapToGrid w:val="0"/>
                      <w:color w:val="auto"/>
                      <w:sz w:val="21"/>
                      <w:szCs w:val="21"/>
                      <w:highlight w:val="none"/>
                    </w:rPr>
                    <w:t>/h</w:t>
                  </w:r>
                </w:p>
              </w:tc>
              <w:tc>
                <w:tcPr>
                  <w:tcW w:w="773"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排放工况</w:t>
                  </w:r>
                </w:p>
              </w:tc>
              <w:tc>
                <w:tcPr>
                  <w:tcW w:w="1218"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污染物排放速率</w:t>
                  </w:r>
                  <w:r>
                    <w:rPr>
                      <w:rFonts w:hint="default" w:ascii="Times New Roman" w:hAnsi="Times New Roman" w:eastAsia="宋体" w:cs="Times New Roman"/>
                      <w:snapToGrid w:val="0"/>
                      <w:color w:val="auto"/>
                      <w:sz w:val="21"/>
                      <w:szCs w:val="21"/>
                      <w:highlight w:val="none"/>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0" w:type="dxa"/>
                  <w:bottom w:w="0" w:type="dxa"/>
                  <w:right w:w="0" w:type="dxa"/>
                </w:tblCellMar>
              </w:tblPrEx>
              <w:trPr>
                <w:trHeight w:val="356" w:hRule="atLeast"/>
                <w:jc w:val="center"/>
              </w:trPr>
              <w:tc>
                <w:tcPr>
                  <w:tcW w:w="527"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566"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1434"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rPr>
                    <w:t>X</w:t>
                  </w:r>
                </w:p>
              </w:tc>
              <w:tc>
                <w:tcPr>
                  <w:tcW w:w="1400"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rPr>
                    <w:t>Y</w:t>
                  </w:r>
                </w:p>
              </w:tc>
              <w:tc>
                <w:tcPr>
                  <w:tcW w:w="745"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0000FF"/>
                      <w:sz w:val="21"/>
                      <w:szCs w:val="21"/>
                      <w:highlight w:val="none"/>
                    </w:rPr>
                  </w:pPr>
                </w:p>
              </w:tc>
              <w:tc>
                <w:tcPr>
                  <w:tcW w:w="73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00"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73"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1218" w:type="dxa"/>
                  <w:vMerge w:val="continue"/>
                  <w:tcBorders>
                    <w:bottom w:val="single" w:color="auto" w:sz="4" w:space="0"/>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0" w:type="dxa"/>
                  <w:bottom w:w="0" w:type="dxa"/>
                  <w:right w:w="0" w:type="dxa"/>
                </w:tblCellMar>
              </w:tblPrEx>
              <w:trPr>
                <w:trHeight w:val="160" w:hRule="atLeast"/>
                <w:jc w:val="center"/>
              </w:trPr>
              <w:tc>
                <w:tcPr>
                  <w:tcW w:w="527"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566"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1434"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1400"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45"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0000FF"/>
                      <w:sz w:val="21"/>
                      <w:szCs w:val="21"/>
                      <w:highlight w:val="none"/>
                    </w:rPr>
                  </w:pPr>
                </w:p>
              </w:tc>
              <w:tc>
                <w:tcPr>
                  <w:tcW w:w="73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00"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73"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1218" w:type="dxa"/>
                  <w:tcBorders>
                    <w:top w:val="single" w:color="auto" w:sz="4" w:space="0"/>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eastAsia="宋体" w:cs="Times New Roman"/>
                      <w:snapToGrid w:val="0"/>
                      <w:color w:val="auto"/>
                      <w:sz w:val="21"/>
                      <w:szCs w:val="21"/>
                      <w:highlight w:val="none"/>
                      <w:lang w:val="en-US" w:eastAsia="zh-CN"/>
                    </w:rPr>
                    <w:t>TSP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0" w:type="dxa"/>
                  <w:bottom w:w="0" w:type="dxa"/>
                  <w:right w:w="0" w:type="dxa"/>
                </w:tblCellMar>
              </w:tblPrEx>
              <w:trPr>
                <w:trHeight w:val="492" w:hRule="atLeast"/>
                <w:jc w:val="center"/>
              </w:trPr>
              <w:tc>
                <w:tcPr>
                  <w:tcW w:w="527"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w:t>
                  </w:r>
                </w:p>
              </w:tc>
              <w:tc>
                <w:tcPr>
                  <w:tcW w:w="566" w:type="dxa"/>
                  <w:vMerge w:val="restart"/>
                  <w:tcBorders>
                    <w:tl2br w:val="nil"/>
                    <w:tr2bl w:val="nil"/>
                  </w:tcBorders>
                  <w:shd w:val="clear" w:color="auto" w:fill="auto"/>
                  <w:noWrap w:val="0"/>
                  <w:vAlign w:val="center"/>
                </w:tcPr>
                <w:p>
                  <w:pPr>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原料库</w:t>
                  </w:r>
                </w:p>
              </w:tc>
              <w:tc>
                <w:tcPr>
                  <w:tcW w:w="1434"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微软雅黑" w:cs="Times New Roman"/>
                      <w:snapToGrid w:val="0"/>
                      <w:color w:val="auto"/>
                      <w:sz w:val="21"/>
                      <w:szCs w:val="21"/>
                      <w:highlight w:val="none"/>
                      <w:lang w:val="en-US" w:eastAsia="zh-CN"/>
                    </w:rPr>
                  </w:pPr>
                  <w:r>
                    <w:rPr>
                      <w:rFonts w:hint="eastAsia" w:eastAsia="微软雅黑" w:cs="Times New Roman"/>
                      <w:snapToGrid w:val="0"/>
                      <w:color w:val="auto"/>
                      <w:sz w:val="21"/>
                      <w:szCs w:val="21"/>
                      <w:highlight w:val="none"/>
                      <w:lang w:val="en-US" w:eastAsia="zh-CN"/>
                    </w:rPr>
                    <w:t>117.403144445</w:t>
                  </w:r>
                </w:p>
              </w:tc>
              <w:tc>
                <w:tcPr>
                  <w:tcW w:w="1400"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40.33866606</w:t>
                  </w:r>
                </w:p>
              </w:tc>
              <w:tc>
                <w:tcPr>
                  <w:tcW w:w="745"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497.595</w:t>
                  </w:r>
                </w:p>
              </w:tc>
              <w:tc>
                <w:tcPr>
                  <w:tcW w:w="738"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14.5</w:t>
                  </w:r>
                </w:p>
              </w:tc>
              <w:tc>
                <w:tcPr>
                  <w:tcW w:w="600"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1500</w:t>
                  </w:r>
                </w:p>
              </w:tc>
              <w:tc>
                <w:tcPr>
                  <w:tcW w:w="773"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正常工况</w:t>
                  </w:r>
                </w:p>
              </w:tc>
              <w:tc>
                <w:tcPr>
                  <w:tcW w:w="1218"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0.53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2" w:hRule="atLeast"/>
                <w:jc w:val="center"/>
              </w:trPr>
              <w:tc>
                <w:tcPr>
                  <w:tcW w:w="527"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2</w:t>
                  </w:r>
                </w:p>
              </w:tc>
              <w:tc>
                <w:tcPr>
                  <w:tcW w:w="566" w:type="dxa"/>
                  <w:vMerge w:val="continue"/>
                  <w:tcBorders>
                    <w:tl2br w:val="nil"/>
                    <w:tr2bl w:val="nil"/>
                  </w:tcBorders>
                  <w:shd w:val="clear" w:color="auto" w:fill="auto"/>
                  <w:noWrap w:val="0"/>
                  <w:vAlign w:val="center"/>
                </w:tcPr>
                <w:p>
                  <w:pPr>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eastAsia" w:cs="Times New Roman"/>
                      <w:snapToGrid w:val="0"/>
                      <w:color w:val="auto"/>
                      <w:sz w:val="21"/>
                      <w:szCs w:val="21"/>
                      <w:highlight w:val="none"/>
                      <w:lang w:val="en-US" w:eastAsia="zh-CN"/>
                    </w:rPr>
                  </w:pPr>
                </w:p>
              </w:tc>
              <w:tc>
                <w:tcPr>
                  <w:tcW w:w="1434"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bidi="zh-CN"/>
                    </w:rPr>
                  </w:pPr>
                  <w:r>
                    <w:rPr>
                      <w:rFonts w:hint="eastAsia" w:cs="Times New Roman"/>
                      <w:color w:val="auto"/>
                      <w:sz w:val="21"/>
                      <w:szCs w:val="21"/>
                      <w:highlight w:val="none"/>
                      <w:vertAlign w:val="baseline"/>
                      <w:lang w:val="en-US" w:eastAsia="zh-CN" w:bidi="zh-CN"/>
                    </w:rPr>
                    <w:t>117.403283422</w:t>
                  </w:r>
                </w:p>
              </w:tc>
              <w:tc>
                <w:tcPr>
                  <w:tcW w:w="1400"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bidi="zh-CN"/>
                    </w:rPr>
                  </w:pPr>
                  <w:r>
                    <w:rPr>
                      <w:rFonts w:hint="eastAsia" w:cs="Times New Roman"/>
                      <w:color w:val="auto"/>
                      <w:sz w:val="21"/>
                      <w:szCs w:val="21"/>
                      <w:highlight w:val="none"/>
                      <w:vertAlign w:val="baseline"/>
                      <w:lang w:val="en-US" w:eastAsia="zh-CN" w:bidi="zh-CN"/>
                    </w:rPr>
                    <w:t>40.343546028</w:t>
                  </w:r>
                </w:p>
              </w:tc>
              <w:tc>
                <w:tcPr>
                  <w:tcW w:w="745"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snapToGrid w:val="0"/>
                      <w:color w:val="auto"/>
                      <w:sz w:val="21"/>
                      <w:szCs w:val="21"/>
                      <w:highlight w:val="none"/>
                      <w:lang w:val="en-US" w:eastAsia="zh-CN" w:bidi="zh-CN"/>
                    </w:rPr>
                  </w:pPr>
                </w:p>
              </w:tc>
              <w:tc>
                <w:tcPr>
                  <w:tcW w:w="73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cs="Times New Roman"/>
                      <w:snapToGrid w:val="0"/>
                      <w:color w:val="0000FF"/>
                      <w:sz w:val="21"/>
                      <w:szCs w:val="21"/>
                      <w:highlight w:val="none"/>
                      <w:lang w:val="en-US" w:eastAsia="zh-CN"/>
                    </w:rPr>
                  </w:pPr>
                </w:p>
              </w:tc>
              <w:tc>
                <w:tcPr>
                  <w:tcW w:w="600"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eastAsia" w:cs="Times New Roman"/>
                      <w:snapToGrid w:val="0"/>
                      <w:color w:val="0000FF"/>
                      <w:sz w:val="21"/>
                      <w:szCs w:val="21"/>
                      <w:highlight w:val="none"/>
                      <w:lang w:val="en-US" w:eastAsia="zh-CN"/>
                    </w:rPr>
                  </w:pPr>
                </w:p>
              </w:tc>
              <w:tc>
                <w:tcPr>
                  <w:tcW w:w="773"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0000FF"/>
                      <w:sz w:val="21"/>
                      <w:szCs w:val="21"/>
                      <w:highlight w:val="none"/>
                    </w:rPr>
                  </w:pPr>
                </w:p>
              </w:tc>
              <w:tc>
                <w:tcPr>
                  <w:tcW w:w="121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color w:val="0000FF"/>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2" w:hRule="atLeast"/>
                <w:jc w:val="center"/>
              </w:trPr>
              <w:tc>
                <w:tcPr>
                  <w:tcW w:w="527"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3</w:t>
                  </w:r>
                </w:p>
              </w:tc>
              <w:tc>
                <w:tcPr>
                  <w:tcW w:w="566" w:type="dxa"/>
                  <w:vMerge w:val="continue"/>
                  <w:tcBorders>
                    <w:tl2br w:val="nil"/>
                    <w:tr2bl w:val="nil"/>
                  </w:tcBorders>
                  <w:shd w:val="clear" w:color="auto" w:fill="auto"/>
                  <w:noWrap w:val="0"/>
                  <w:vAlign w:val="center"/>
                </w:tcPr>
                <w:p>
                  <w:pPr>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eastAsia" w:cs="Times New Roman"/>
                      <w:snapToGrid w:val="0"/>
                      <w:color w:val="auto"/>
                      <w:sz w:val="21"/>
                      <w:szCs w:val="21"/>
                      <w:highlight w:val="none"/>
                      <w:lang w:val="en-US" w:eastAsia="zh-CN"/>
                    </w:rPr>
                  </w:pPr>
                </w:p>
              </w:tc>
              <w:tc>
                <w:tcPr>
                  <w:tcW w:w="1434"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bidi="zh-CN"/>
                    </w:rPr>
                  </w:pPr>
                  <w:r>
                    <w:rPr>
                      <w:rFonts w:hint="eastAsia" w:cs="Times New Roman"/>
                      <w:color w:val="auto"/>
                      <w:sz w:val="21"/>
                      <w:szCs w:val="21"/>
                      <w:highlight w:val="none"/>
                      <w:vertAlign w:val="baseline"/>
                      <w:lang w:val="en-US" w:eastAsia="zh-CN" w:bidi="zh-CN"/>
                    </w:rPr>
                    <w:t>117.403082647</w:t>
                  </w:r>
                </w:p>
              </w:tc>
              <w:tc>
                <w:tcPr>
                  <w:tcW w:w="1400"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bidi="zh-CN"/>
                    </w:rPr>
                  </w:pPr>
                  <w:r>
                    <w:rPr>
                      <w:rFonts w:hint="eastAsia" w:cs="Times New Roman"/>
                      <w:color w:val="auto"/>
                      <w:sz w:val="21"/>
                      <w:szCs w:val="21"/>
                      <w:highlight w:val="none"/>
                      <w:vertAlign w:val="baseline"/>
                      <w:lang w:val="en-US" w:eastAsia="zh-CN" w:bidi="zh-CN"/>
                    </w:rPr>
                    <w:t>40.343490024</w:t>
                  </w:r>
                </w:p>
              </w:tc>
              <w:tc>
                <w:tcPr>
                  <w:tcW w:w="745"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snapToGrid w:val="0"/>
                      <w:color w:val="auto"/>
                      <w:sz w:val="21"/>
                      <w:szCs w:val="21"/>
                      <w:highlight w:val="none"/>
                      <w:lang w:val="en-US" w:eastAsia="zh-CN"/>
                    </w:rPr>
                  </w:pPr>
                </w:p>
              </w:tc>
              <w:tc>
                <w:tcPr>
                  <w:tcW w:w="73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eastAsia" w:cs="Times New Roman"/>
                      <w:snapToGrid w:val="0"/>
                      <w:color w:val="auto"/>
                      <w:sz w:val="21"/>
                      <w:szCs w:val="21"/>
                      <w:highlight w:val="none"/>
                      <w:lang w:val="en-US" w:eastAsia="zh-CN"/>
                    </w:rPr>
                  </w:pPr>
                </w:p>
              </w:tc>
              <w:tc>
                <w:tcPr>
                  <w:tcW w:w="600"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eastAsia" w:cs="Times New Roman"/>
                      <w:snapToGrid w:val="0"/>
                      <w:color w:val="0000FF"/>
                      <w:sz w:val="21"/>
                      <w:szCs w:val="21"/>
                      <w:highlight w:val="none"/>
                      <w:lang w:val="en-US" w:eastAsia="zh-CN"/>
                    </w:rPr>
                  </w:pPr>
                </w:p>
              </w:tc>
              <w:tc>
                <w:tcPr>
                  <w:tcW w:w="773"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0000FF"/>
                      <w:sz w:val="21"/>
                      <w:szCs w:val="21"/>
                      <w:highlight w:val="none"/>
                    </w:rPr>
                  </w:pPr>
                </w:p>
              </w:tc>
              <w:tc>
                <w:tcPr>
                  <w:tcW w:w="121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color w:val="0000FF"/>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2" w:hRule="atLeast"/>
                <w:jc w:val="center"/>
              </w:trPr>
              <w:tc>
                <w:tcPr>
                  <w:tcW w:w="527"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w:t>
                  </w:r>
                </w:p>
              </w:tc>
              <w:tc>
                <w:tcPr>
                  <w:tcW w:w="566" w:type="dxa"/>
                  <w:vMerge w:val="continue"/>
                  <w:tcBorders>
                    <w:tl2br w:val="nil"/>
                    <w:tr2bl w:val="nil"/>
                  </w:tcBorders>
                  <w:shd w:val="clear" w:color="auto" w:fill="auto"/>
                  <w:noWrap w:val="0"/>
                  <w:vAlign w:val="center"/>
                </w:tcPr>
                <w:p>
                  <w:pPr>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eastAsia" w:cs="Times New Roman"/>
                      <w:snapToGrid w:val="0"/>
                      <w:color w:val="auto"/>
                      <w:sz w:val="21"/>
                      <w:szCs w:val="21"/>
                      <w:highlight w:val="none"/>
                      <w:lang w:val="en-US" w:eastAsia="zh-CN"/>
                    </w:rPr>
                  </w:pPr>
                </w:p>
              </w:tc>
              <w:tc>
                <w:tcPr>
                  <w:tcW w:w="1434"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bidi="zh-CN"/>
                    </w:rPr>
                  </w:pPr>
                  <w:r>
                    <w:rPr>
                      <w:rFonts w:hint="eastAsia" w:cs="Times New Roman"/>
                      <w:color w:val="auto"/>
                      <w:sz w:val="21"/>
                      <w:szCs w:val="21"/>
                      <w:highlight w:val="none"/>
                      <w:vertAlign w:val="baseline"/>
                      <w:lang w:val="en-US" w:eastAsia="zh-CN" w:bidi="zh-CN"/>
                    </w:rPr>
                    <w:t>117.403009262</w:t>
                  </w:r>
                </w:p>
              </w:tc>
              <w:tc>
                <w:tcPr>
                  <w:tcW w:w="1400"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bidi="zh-CN"/>
                    </w:rPr>
                  </w:pPr>
                  <w:r>
                    <w:rPr>
                      <w:rFonts w:hint="eastAsia" w:cs="Times New Roman"/>
                      <w:color w:val="auto"/>
                      <w:sz w:val="21"/>
                      <w:szCs w:val="21"/>
                      <w:highlight w:val="none"/>
                      <w:vertAlign w:val="baseline"/>
                      <w:lang w:val="en-US" w:eastAsia="zh-CN" w:bidi="zh-CN"/>
                    </w:rPr>
                    <w:t>40.343150312</w:t>
                  </w:r>
                </w:p>
              </w:tc>
              <w:tc>
                <w:tcPr>
                  <w:tcW w:w="745"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snapToGrid w:val="0"/>
                      <w:color w:val="0000FF"/>
                      <w:sz w:val="21"/>
                      <w:szCs w:val="21"/>
                      <w:highlight w:val="none"/>
                      <w:lang w:val="en-US" w:eastAsia="zh-CN"/>
                    </w:rPr>
                  </w:pPr>
                </w:p>
              </w:tc>
              <w:tc>
                <w:tcPr>
                  <w:tcW w:w="73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eastAsia" w:cs="Times New Roman"/>
                      <w:snapToGrid w:val="0"/>
                      <w:color w:val="auto"/>
                      <w:sz w:val="21"/>
                      <w:szCs w:val="21"/>
                      <w:highlight w:val="none"/>
                      <w:lang w:val="en-US" w:eastAsia="zh-CN"/>
                    </w:rPr>
                  </w:pPr>
                </w:p>
              </w:tc>
              <w:tc>
                <w:tcPr>
                  <w:tcW w:w="600"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eastAsia" w:cs="Times New Roman"/>
                      <w:snapToGrid w:val="0"/>
                      <w:color w:val="0000FF"/>
                      <w:sz w:val="21"/>
                      <w:szCs w:val="21"/>
                      <w:highlight w:val="none"/>
                      <w:lang w:val="en-US" w:eastAsia="zh-CN"/>
                    </w:rPr>
                  </w:pPr>
                </w:p>
              </w:tc>
              <w:tc>
                <w:tcPr>
                  <w:tcW w:w="773"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0000FF"/>
                      <w:sz w:val="21"/>
                      <w:szCs w:val="21"/>
                      <w:highlight w:val="none"/>
                    </w:rPr>
                  </w:pPr>
                </w:p>
              </w:tc>
              <w:tc>
                <w:tcPr>
                  <w:tcW w:w="121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color w:val="0000FF"/>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2" w:hRule="atLeast"/>
                <w:jc w:val="center"/>
              </w:trPr>
              <w:tc>
                <w:tcPr>
                  <w:tcW w:w="527"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5</w:t>
                  </w:r>
                </w:p>
              </w:tc>
              <w:tc>
                <w:tcPr>
                  <w:tcW w:w="566" w:type="dxa"/>
                  <w:vMerge w:val="continue"/>
                  <w:tcBorders>
                    <w:tl2br w:val="nil"/>
                    <w:tr2bl w:val="nil"/>
                  </w:tcBorders>
                  <w:shd w:val="clear" w:color="auto" w:fill="auto"/>
                  <w:noWrap w:val="0"/>
                  <w:vAlign w:val="center"/>
                </w:tcPr>
                <w:p>
                  <w:pPr>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eastAsia" w:cs="Times New Roman"/>
                      <w:snapToGrid w:val="0"/>
                      <w:color w:val="auto"/>
                      <w:sz w:val="21"/>
                      <w:szCs w:val="21"/>
                      <w:highlight w:val="none"/>
                      <w:lang w:val="en-US" w:eastAsia="zh-CN"/>
                    </w:rPr>
                  </w:pPr>
                </w:p>
              </w:tc>
              <w:tc>
                <w:tcPr>
                  <w:tcW w:w="1434"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bidi="zh-CN"/>
                    </w:rPr>
                  </w:pPr>
                  <w:r>
                    <w:rPr>
                      <w:rFonts w:hint="eastAsia" w:cs="Times New Roman"/>
                      <w:color w:val="auto"/>
                      <w:sz w:val="21"/>
                      <w:szCs w:val="21"/>
                      <w:highlight w:val="none"/>
                      <w:vertAlign w:val="baseline"/>
                      <w:lang w:val="en-US" w:eastAsia="zh-CN" w:bidi="zh-CN"/>
                    </w:rPr>
                    <w:t>117.403071060</w:t>
                  </w:r>
                </w:p>
              </w:tc>
              <w:tc>
                <w:tcPr>
                  <w:tcW w:w="1400"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bidi="zh-CN"/>
                    </w:rPr>
                  </w:pPr>
                  <w:r>
                    <w:rPr>
                      <w:rFonts w:hint="eastAsia" w:cs="Times New Roman"/>
                      <w:color w:val="auto"/>
                      <w:sz w:val="21"/>
                      <w:szCs w:val="21"/>
                      <w:highlight w:val="none"/>
                      <w:vertAlign w:val="baseline"/>
                      <w:lang w:val="en-US" w:eastAsia="zh-CN" w:bidi="zh-CN"/>
                    </w:rPr>
                    <w:t>40.343785496</w:t>
                  </w:r>
                </w:p>
              </w:tc>
              <w:tc>
                <w:tcPr>
                  <w:tcW w:w="745"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snapToGrid w:val="0"/>
                      <w:color w:val="0000FF"/>
                      <w:sz w:val="21"/>
                      <w:szCs w:val="21"/>
                      <w:highlight w:val="none"/>
                      <w:lang w:val="en-US" w:eastAsia="zh-CN"/>
                    </w:rPr>
                  </w:pPr>
                </w:p>
              </w:tc>
              <w:tc>
                <w:tcPr>
                  <w:tcW w:w="73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eastAsia" w:cs="Times New Roman"/>
                      <w:snapToGrid w:val="0"/>
                      <w:color w:val="auto"/>
                      <w:sz w:val="21"/>
                      <w:szCs w:val="21"/>
                      <w:highlight w:val="none"/>
                      <w:lang w:val="en-US" w:eastAsia="zh-CN"/>
                    </w:rPr>
                  </w:pPr>
                </w:p>
              </w:tc>
              <w:tc>
                <w:tcPr>
                  <w:tcW w:w="600"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eastAsia" w:cs="Times New Roman"/>
                      <w:snapToGrid w:val="0"/>
                      <w:color w:val="0000FF"/>
                      <w:sz w:val="21"/>
                      <w:szCs w:val="21"/>
                      <w:highlight w:val="none"/>
                      <w:lang w:val="en-US" w:eastAsia="zh-CN"/>
                    </w:rPr>
                  </w:pPr>
                </w:p>
              </w:tc>
              <w:tc>
                <w:tcPr>
                  <w:tcW w:w="773"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0000FF"/>
                      <w:sz w:val="21"/>
                      <w:szCs w:val="21"/>
                      <w:highlight w:val="none"/>
                    </w:rPr>
                  </w:pPr>
                </w:p>
              </w:tc>
              <w:tc>
                <w:tcPr>
                  <w:tcW w:w="121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color w:val="0000FF"/>
                    </w:rPr>
                  </w:pPr>
                </w:p>
              </w:tc>
            </w:tr>
          </w:tbl>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22" w:firstLineChars="20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b/>
                <w:bCs/>
                <w:color w:val="auto"/>
                <w:sz w:val="21"/>
                <w:szCs w:val="21"/>
                <w:highlight w:val="none"/>
              </w:rPr>
              <w:t>表</w:t>
            </w:r>
            <w:r>
              <w:rPr>
                <w:rFonts w:hint="eastAsia"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采用的无组织面源参数调查清单</w:t>
            </w:r>
          </w:p>
          <w:tbl>
            <w:tblPr>
              <w:tblStyle w:val="1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0" w:type="dxa"/>
                <w:bottom w:w="0" w:type="dxa"/>
                <w:right w:w="0" w:type="dxa"/>
              </w:tblCellMar>
            </w:tblPr>
            <w:tblGrid>
              <w:gridCol w:w="335"/>
              <w:gridCol w:w="610"/>
              <w:gridCol w:w="1329"/>
              <w:gridCol w:w="1224"/>
              <w:gridCol w:w="468"/>
              <w:gridCol w:w="477"/>
              <w:gridCol w:w="634"/>
              <w:gridCol w:w="738"/>
              <w:gridCol w:w="600"/>
              <w:gridCol w:w="773"/>
              <w:gridCol w:w="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0" w:type="dxa"/>
                  <w:bottom w:w="0" w:type="dxa"/>
                  <w:right w:w="0" w:type="dxa"/>
                </w:tblCellMar>
              </w:tblPrEx>
              <w:trPr>
                <w:trHeight w:val="329" w:hRule="atLeast"/>
                <w:jc w:val="center"/>
              </w:trPr>
              <w:tc>
                <w:tcPr>
                  <w:tcW w:w="335"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编号</w:t>
                  </w:r>
                </w:p>
              </w:tc>
              <w:tc>
                <w:tcPr>
                  <w:tcW w:w="610"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名称</w:t>
                  </w:r>
                </w:p>
              </w:tc>
              <w:tc>
                <w:tcPr>
                  <w:tcW w:w="2553" w:type="dxa"/>
                  <w:gridSpan w:val="2"/>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面源</w:t>
                  </w:r>
                  <w:r>
                    <w:rPr>
                      <w:rFonts w:hint="eastAsia" w:cs="Times New Roman"/>
                      <w:snapToGrid w:val="0"/>
                      <w:color w:val="auto"/>
                      <w:sz w:val="21"/>
                      <w:szCs w:val="21"/>
                      <w:highlight w:val="none"/>
                      <w:lang w:val="zh-CN"/>
                    </w:rPr>
                    <w:t>起始点</w:t>
                  </w:r>
                  <w:r>
                    <w:rPr>
                      <w:rFonts w:hint="default" w:ascii="Times New Roman" w:hAnsi="Times New Roman" w:eastAsia="宋体" w:cs="Times New Roman"/>
                      <w:snapToGrid w:val="0"/>
                      <w:color w:val="auto"/>
                      <w:sz w:val="21"/>
                      <w:szCs w:val="21"/>
                      <w:highlight w:val="none"/>
                      <w:lang w:val="zh-CN"/>
                    </w:rPr>
                    <w:t>坐标</w:t>
                  </w:r>
                  <w:r>
                    <w:rPr>
                      <w:rFonts w:hint="default" w:ascii="Times New Roman" w:hAnsi="Times New Roman" w:eastAsia="宋体" w:cs="Times New Roman"/>
                      <w:snapToGrid w:val="0"/>
                      <w:color w:val="auto"/>
                      <w:sz w:val="21"/>
                      <w:szCs w:val="21"/>
                      <w:highlight w:val="none"/>
                    </w:rPr>
                    <w:t>/m</w:t>
                  </w:r>
                </w:p>
              </w:tc>
              <w:tc>
                <w:tcPr>
                  <w:tcW w:w="468"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面源长度/m</w:t>
                  </w:r>
                </w:p>
              </w:tc>
              <w:tc>
                <w:tcPr>
                  <w:tcW w:w="477"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面源宽度/m</w:t>
                  </w:r>
                </w:p>
              </w:tc>
              <w:tc>
                <w:tcPr>
                  <w:tcW w:w="634"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与正北向夹角/°</w:t>
                  </w:r>
                </w:p>
              </w:tc>
              <w:tc>
                <w:tcPr>
                  <w:tcW w:w="738"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面源有效排放高度</w:t>
                  </w:r>
                  <w:r>
                    <w:rPr>
                      <w:rFonts w:hint="default" w:ascii="Times New Roman" w:hAnsi="Times New Roman" w:eastAsia="宋体" w:cs="Times New Roman"/>
                      <w:snapToGrid w:val="0"/>
                      <w:color w:val="auto"/>
                      <w:sz w:val="21"/>
                      <w:szCs w:val="21"/>
                      <w:highlight w:val="none"/>
                    </w:rPr>
                    <w:t>/m</w:t>
                  </w:r>
                </w:p>
              </w:tc>
              <w:tc>
                <w:tcPr>
                  <w:tcW w:w="600"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年排放小时数</w:t>
                  </w:r>
                  <w:r>
                    <w:rPr>
                      <w:rFonts w:hint="default" w:ascii="Times New Roman" w:hAnsi="Times New Roman" w:eastAsia="宋体" w:cs="Times New Roman"/>
                      <w:snapToGrid w:val="0"/>
                      <w:color w:val="auto"/>
                      <w:sz w:val="21"/>
                      <w:szCs w:val="21"/>
                      <w:highlight w:val="none"/>
                    </w:rPr>
                    <w:t>/h</w:t>
                  </w:r>
                </w:p>
              </w:tc>
              <w:tc>
                <w:tcPr>
                  <w:tcW w:w="773"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排放工况</w:t>
                  </w:r>
                </w:p>
              </w:tc>
              <w:tc>
                <w:tcPr>
                  <w:tcW w:w="886"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污染物排放速率</w:t>
                  </w:r>
                  <w:r>
                    <w:rPr>
                      <w:rFonts w:hint="default" w:ascii="Times New Roman" w:hAnsi="Times New Roman" w:eastAsia="宋体" w:cs="Times New Roman"/>
                      <w:snapToGrid w:val="0"/>
                      <w:color w:val="auto"/>
                      <w:sz w:val="21"/>
                      <w:szCs w:val="21"/>
                      <w:highlight w:val="none"/>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6" w:hRule="atLeast"/>
                <w:jc w:val="center"/>
              </w:trPr>
              <w:tc>
                <w:tcPr>
                  <w:tcW w:w="335"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610"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1329"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rPr>
                    <w:t>X</w:t>
                  </w:r>
                </w:p>
              </w:tc>
              <w:tc>
                <w:tcPr>
                  <w:tcW w:w="1224" w:type="dxa"/>
                  <w:vMerge w:val="restart"/>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rPr>
                    <w:t>Y</w:t>
                  </w:r>
                </w:p>
              </w:tc>
              <w:tc>
                <w:tcPr>
                  <w:tcW w:w="46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477"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34"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3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00"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73"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886" w:type="dxa"/>
                  <w:vMerge w:val="continue"/>
                  <w:tcBorders>
                    <w:bottom w:val="single" w:color="auto" w:sz="4" w:space="0"/>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0" w:hRule="atLeast"/>
                <w:jc w:val="center"/>
              </w:trPr>
              <w:tc>
                <w:tcPr>
                  <w:tcW w:w="335"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610"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1329"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1224"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46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477"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34"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38"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00"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73" w:type="dxa"/>
                  <w:vMerge w:val="continue"/>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886" w:type="dxa"/>
                  <w:tcBorders>
                    <w:top w:val="single" w:color="auto" w:sz="4" w:space="0"/>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eastAsia="宋体" w:cs="Times New Roman"/>
                      <w:snapToGrid w:val="0"/>
                      <w:color w:val="auto"/>
                      <w:sz w:val="21"/>
                      <w:szCs w:val="21"/>
                      <w:highlight w:val="none"/>
                      <w:lang w:val="en-US" w:eastAsia="zh-CN"/>
                    </w:rPr>
                    <w:t>TSP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2" w:hRule="atLeast"/>
                <w:jc w:val="center"/>
              </w:trPr>
              <w:tc>
                <w:tcPr>
                  <w:tcW w:w="335"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w:t>
                  </w:r>
                </w:p>
              </w:tc>
              <w:tc>
                <w:tcPr>
                  <w:tcW w:w="610" w:type="dxa"/>
                  <w:tcBorders>
                    <w:tl2br w:val="nil"/>
                    <w:tr2bl w:val="nil"/>
                  </w:tcBorders>
                  <w:shd w:val="clear" w:color="auto" w:fill="auto"/>
                  <w:noWrap w:val="0"/>
                  <w:vAlign w:val="center"/>
                </w:tcPr>
                <w:p>
                  <w:pPr>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成品库存车间</w:t>
                  </w:r>
                </w:p>
              </w:tc>
              <w:tc>
                <w:tcPr>
                  <w:tcW w:w="1329"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微软雅黑" w:cs="Times New Roman"/>
                      <w:snapToGrid w:val="0"/>
                      <w:color w:val="auto"/>
                      <w:sz w:val="21"/>
                      <w:szCs w:val="21"/>
                      <w:highlight w:val="none"/>
                      <w:lang w:val="en-US" w:eastAsia="zh-CN"/>
                    </w:rPr>
                  </w:pPr>
                  <w:r>
                    <w:rPr>
                      <w:rFonts w:hint="eastAsia" w:eastAsia="微软雅黑" w:cs="Times New Roman"/>
                      <w:snapToGrid w:val="0"/>
                      <w:color w:val="auto"/>
                      <w:sz w:val="21"/>
                      <w:szCs w:val="21"/>
                      <w:highlight w:val="none"/>
                      <w:lang w:val="en-US" w:eastAsia="zh-CN"/>
                    </w:rPr>
                    <w:t>117.403534545</w:t>
                  </w:r>
                </w:p>
              </w:tc>
              <w:tc>
                <w:tcPr>
                  <w:tcW w:w="1224"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eastAsia="宋体" w:cs="Times New Roman"/>
                      <w:snapToGrid w:val="0"/>
                      <w:color w:val="auto"/>
                      <w:sz w:val="21"/>
                      <w:szCs w:val="21"/>
                      <w:highlight w:val="none"/>
                      <w:lang w:val="en-US" w:eastAsia="zh-CN"/>
                    </w:rPr>
                    <w:t>40.343814464</w:t>
                  </w:r>
                </w:p>
              </w:tc>
              <w:tc>
                <w:tcPr>
                  <w:tcW w:w="468"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eastAsia="宋体" w:cs="Times New Roman"/>
                      <w:snapToGrid w:val="0"/>
                      <w:color w:val="auto"/>
                      <w:sz w:val="21"/>
                      <w:szCs w:val="21"/>
                      <w:highlight w:val="none"/>
                      <w:lang w:val="en-US" w:eastAsia="zh-CN"/>
                    </w:rPr>
                    <w:t>60</w:t>
                  </w:r>
                </w:p>
              </w:tc>
              <w:tc>
                <w:tcPr>
                  <w:tcW w:w="477"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eastAsia="宋体" w:cs="Times New Roman"/>
                      <w:snapToGrid w:val="0"/>
                      <w:color w:val="auto"/>
                      <w:sz w:val="21"/>
                      <w:szCs w:val="21"/>
                      <w:highlight w:val="none"/>
                      <w:lang w:val="en-US" w:eastAsia="zh-CN"/>
                    </w:rPr>
                    <w:t>50</w:t>
                  </w:r>
                </w:p>
              </w:tc>
              <w:tc>
                <w:tcPr>
                  <w:tcW w:w="634"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eastAsia="宋体" w:cs="Times New Roman"/>
                      <w:snapToGrid w:val="0"/>
                      <w:color w:val="auto"/>
                      <w:sz w:val="21"/>
                      <w:szCs w:val="21"/>
                      <w:highlight w:val="none"/>
                      <w:lang w:val="en-US" w:eastAsia="zh-CN"/>
                    </w:rPr>
                    <w:t>70</w:t>
                  </w:r>
                </w:p>
              </w:tc>
              <w:tc>
                <w:tcPr>
                  <w:tcW w:w="738"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14.5</w:t>
                  </w:r>
                </w:p>
              </w:tc>
              <w:tc>
                <w:tcPr>
                  <w:tcW w:w="600"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1500</w:t>
                  </w:r>
                </w:p>
              </w:tc>
              <w:tc>
                <w:tcPr>
                  <w:tcW w:w="773"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正常工况</w:t>
                  </w:r>
                </w:p>
              </w:tc>
              <w:tc>
                <w:tcPr>
                  <w:tcW w:w="886" w:type="dxa"/>
                  <w:tcBorders>
                    <w:tl2br w:val="nil"/>
                    <w:tr2bl w:val="nil"/>
                  </w:tcBorders>
                  <w:shd w:val="clear" w:color="auto" w:fill="auto"/>
                  <w:noWrap w:val="0"/>
                  <w:vAlign w:val="center"/>
                </w:tcPr>
                <w:p>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0.53</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确定评价等级的同时应说明估算模式计算参数和判定依据，相关内容与格式要求见《环境影响评价技术导则大气环境》（HJ2.2-2018）附录C</w:t>
            </w:r>
            <w:r>
              <w:rPr>
                <w:rStyle w:val="18"/>
                <w:rFonts w:hint="default" w:ascii="Times New Roman" w:hAnsi="Times New Roman" w:eastAsia="宋体" w:cs="Times New Roman"/>
                <w:b w:val="0"/>
                <w:color w:val="auto"/>
                <w:sz w:val="24"/>
                <w:szCs w:val="24"/>
              </w:rPr>
              <w:t>中C.1</w:t>
            </w:r>
            <w:r>
              <w:rPr>
                <w:rFonts w:hint="default" w:ascii="Times New Roman" w:hAnsi="Times New Roman" w:eastAsia="宋体" w:cs="Times New Roman"/>
                <w:color w:val="auto"/>
                <w:sz w:val="24"/>
                <w:szCs w:val="24"/>
              </w:rPr>
              <w:t>，详见下表：</w:t>
            </w:r>
          </w:p>
          <w:p>
            <w:pPr>
              <w:autoSpaceDE/>
              <w:autoSpaceDN/>
              <w:spacing w:line="480" w:lineRule="exact"/>
              <w:jc w:val="center"/>
              <w:rPr>
                <w:rFonts w:cs="Times New Roman"/>
                <w:b/>
                <w:bCs/>
                <w:color w:val="auto"/>
                <w:sz w:val="21"/>
              </w:rPr>
            </w:pPr>
            <w:r>
              <w:rPr>
                <w:rFonts w:cs="Times New Roman"/>
                <w:b/>
                <w:bCs/>
                <w:color w:val="auto"/>
                <w:sz w:val="21"/>
              </w:rPr>
              <w:t>表</w:t>
            </w:r>
            <w:r>
              <w:rPr>
                <w:rFonts w:hint="eastAsia" w:cs="Times New Roman"/>
                <w:b/>
                <w:bCs/>
                <w:color w:val="auto"/>
                <w:sz w:val="21"/>
                <w:lang w:val="en-US"/>
              </w:rPr>
              <w:t>4-</w:t>
            </w:r>
            <w:r>
              <w:rPr>
                <w:rFonts w:hint="eastAsia" w:cs="Times New Roman"/>
                <w:b/>
                <w:bCs/>
                <w:color w:val="auto"/>
                <w:sz w:val="21"/>
                <w:lang w:val="en-US" w:eastAsia="zh-CN"/>
              </w:rPr>
              <w:t>6</w:t>
            </w:r>
            <w:r>
              <w:rPr>
                <w:rFonts w:cs="Times New Roman"/>
                <w:b/>
                <w:bCs/>
                <w:color w:val="auto"/>
                <w:sz w:val="21"/>
              </w:rPr>
              <w:t>估算模型参数表</w:t>
            </w:r>
          </w:p>
          <w:tbl>
            <w:tblPr>
              <w:tblStyle w:val="15"/>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08"/>
              <w:gridCol w:w="2720"/>
              <w:gridCol w:w="3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4928" w:type="dxa"/>
                  <w:gridSpan w:val="2"/>
                  <w:tcBorders>
                    <w:tl2br w:val="nil"/>
                    <w:tr2bl w:val="nil"/>
                  </w:tcBorders>
                  <w:vAlign w:val="center"/>
                </w:tcPr>
                <w:p>
                  <w:pPr>
                    <w:tabs>
                      <w:tab w:val="left" w:pos="0"/>
                    </w:tabs>
                    <w:adjustRightInd w:val="0"/>
                    <w:spacing w:line="240" w:lineRule="auto"/>
                    <w:rPr>
                      <w:rFonts w:cs="Times New Roman"/>
                      <w:b w:val="0"/>
                      <w:bCs w:val="0"/>
                      <w:snapToGrid w:val="0"/>
                      <w:color w:val="auto"/>
                      <w:sz w:val="21"/>
                      <w:szCs w:val="21"/>
                    </w:rPr>
                  </w:pPr>
                  <w:r>
                    <w:rPr>
                      <w:rFonts w:cs="Times New Roman"/>
                      <w:b w:val="0"/>
                      <w:bCs w:val="0"/>
                      <w:snapToGrid w:val="0"/>
                      <w:color w:val="auto"/>
                      <w:sz w:val="21"/>
                      <w:szCs w:val="21"/>
                    </w:rPr>
                    <w:t>参数</w:t>
                  </w:r>
                </w:p>
              </w:tc>
              <w:tc>
                <w:tcPr>
                  <w:tcW w:w="3051" w:type="dxa"/>
                  <w:tcBorders>
                    <w:tl2br w:val="nil"/>
                    <w:tr2bl w:val="nil"/>
                  </w:tcBorders>
                  <w:vAlign w:val="center"/>
                </w:tcPr>
                <w:p>
                  <w:pPr>
                    <w:tabs>
                      <w:tab w:val="left" w:pos="0"/>
                    </w:tabs>
                    <w:adjustRightInd w:val="0"/>
                    <w:spacing w:line="240" w:lineRule="auto"/>
                    <w:rPr>
                      <w:rFonts w:cs="Times New Roman"/>
                      <w:b w:val="0"/>
                      <w:bCs w:val="0"/>
                      <w:snapToGrid w:val="0"/>
                      <w:color w:val="auto"/>
                      <w:sz w:val="21"/>
                      <w:szCs w:val="21"/>
                    </w:rPr>
                  </w:pPr>
                  <w:r>
                    <w:rPr>
                      <w:rFonts w:cs="Times New Roman"/>
                      <w:b w:val="0"/>
                      <w:bCs w:val="0"/>
                      <w:snapToGrid w:val="0"/>
                      <w:color w:val="auto"/>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2208" w:type="dxa"/>
                  <w:vMerge w:val="restart"/>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城市/农村选项</w:t>
                  </w:r>
                </w:p>
              </w:tc>
              <w:tc>
                <w:tcPr>
                  <w:tcW w:w="2720"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城市/农村</w:t>
                  </w:r>
                </w:p>
              </w:tc>
              <w:tc>
                <w:tcPr>
                  <w:tcW w:w="3051"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2208" w:type="dxa"/>
                  <w:vMerge w:val="continue"/>
                  <w:tcBorders>
                    <w:tl2br w:val="nil"/>
                    <w:tr2bl w:val="nil"/>
                  </w:tcBorders>
                  <w:vAlign w:val="center"/>
                </w:tcPr>
                <w:p>
                  <w:pPr>
                    <w:tabs>
                      <w:tab w:val="left" w:pos="0"/>
                    </w:tabs>
                    <w:adjustRightInd w:val="0"/>
                    <w:spacing w:line="240" w:lineRule="auto"/>
                    <w:rPr>
                      <w:rFonts w:cs="Times New Roman"/>
                      <w:color w:val="auto"/>
                      <w:sz w:val="21"/>
                      <w:szCs w:val="21"/>
                    </w:rPr>
                  </w:pPr>
                </w:p>
              </w:tc>
              <w:tc>
                <w:tcPr>
                  <w:tcW w:w="2720"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人口数（城市选项时）</w:t>
                  </w:r>
                </w:p>
              </w:tc>
              <w:tc>
                <w:tcPr>
                  <w:tcW w:w="3051"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4928" w:type="dxa"/>
                  <w:gridSpan w:val="2"/>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最高环境温度/℃</w:t>
                  </w:r>
                </w:p>
              </w:tc>
              <w:tc>
                <w:tcPr>
                  <w:tcW w:w="3051" w:type="dxa"/>
                  <w:tcBorders>
                    <w:tl2br w:val="nil"/>
                    <w:tr2bl w:val="nil"/>
                  </w:tcBorders>
                  <w:vAlign w:val="center"/>
                </w:tcPr>
                <w:p>
                  <w:pPr>
                    <w:tabs>
                      <w:tab w:val="left" w:pos="0"/>
                    </w:tabs>
                    <w:adjustRightInd w:val="0"/>
                    <w:spacing w:line="240" w:lineRule="auto"/>
                    <w:rPr>
                      <w:rFonts w:cs="Times New Roman"/>
                      <w:snapToGrid w:val="0"/>
                      <w:color w:val="auto"/>
                      <w:sz w:val="21"/>
                      <w:szCs w:val="21"/>
                      <w:lang w:val="en-US"/>
                    </w:rPr>
                  </w:pPr>
                  <w:r>
                    <w:rPr>
                      <w:rFonts w:cs="Times New Roman"/>
                      <w:snapToGrid w:val="0"/>
                      <w:color w:val="auto"/>
                      <w:sz w:val="21"/>
                      <w:szCs w:val="21"/>
                      <w:lang w:val="en-US"/>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4928" w:type="dxa"/>
                  <w:gridSpan w:val="2"/>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最低环境温度/℃</w:t>
                  </w:r>
                </w:p>
              </w:tc>
              <w:tc>
                <w:tcPr>
                  <w:tcW w:w="3051" w:type="dxa"/>
                  <w:tcBorders>
                    <w:tl2br w:val="nil"/>
                    <w:tr2bl w:val="nil"/>
                  </w:tcBorders>
                  <w:vAlign w:val="center"/>
                </w:tcPr>
                <w:p>
                  <w:pPr>
                    <w:tabs>
                      <w:tab w:val="left" w:pos="0"/>
                    </w:tabs>
                    <w:adjustRightInd w:val="0"/>
                    <w:spacing w:line="240" w:lineRule="auto"/>
                    <w:rPr>
                      <w:rFonts w:cs="Times New Roman"/>
                      <w:snapToGrid w:val="0"/>
                      <w:color w:val="auto"/>
                      <w:sz w:val="21"/>
                      <w:szCs w:val="21"/>
                      <w:lang w:val="en-US"/>
                    </w:rPr>
                  </w:pPr>
                  <w:r>
                    <w:rPr>
                      <w:rFonts w:cs="Times New Roman"/>
                      <w:snapToGrid w:val="0"/>
                      <w:color w:val="auto"/>
                      <w:sz w:val="21"/>
                      <w:szCs w:val="21"/>
                    </w:rPr>
                    <w:t>-</w:t>
                  </w:r>
                  <w:r>
                    <w:rPr>
                      <w:rFonts w:cs="Times New Roman"/>
                      <w:snapToGrid w:val="0"/>
                      <w:color w:val="auto"/>
                      <w:sz w:val="21"/>
                      <w:szCs w:val="21"/>
                      <w:lang w:val="en-US"/>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4928" w:type="dxa"/>
                  <w:gridSpan w:val="2"/>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土地利用类型</w:t>
                  </w:r>
                </w:p>
              </w:tc>
              <w:tc>
                <w:tcPr>
                  <w:tcW w:w="3051"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hint="default" w:ascii="Times New Roman" w:hAnsi="Times New Roman" w:eastAsia="宋体" w:cs="Times New Roman"/>
                      <w:color w:val="auto"/>
                      <w:kern w:val="0"/>
                      <w:sz w:val="21"/>
                      <w:szCs w:val="21"/>
                      <w:highlight w:val="none"/>
                    </w:rP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4928" w:type="dxa"/>
                  <w:gridSpan w:val="2"/>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区域湿度条件</w:t>
                  </w:r>
                </w:p>
              </w:tc>
              <w:tc>
                <w:tcPr>
                  <w:tcW w:w="3051"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2208" w:type="dxa"/>
                  <w:vMerge w:val="restart"/>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是否考虑地形</w:t>
                  </w:r>
                </w:p>
              </w:tc>
              <w:tc>
                <w:tcPr>
                  <w:tcW w:w="2720"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考虑地形</w:t>
                  </w:r>
                </w:p>
              </w:tc>
              <w:tc>
                <w:tcPr>
                  <w:tcW w:w="3051"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sym w:font="Wingdings" w:char="00A8"/>
                  </w:r>
                  <w:r>
                    <w:rPr>
                      <w:rFonts w:cs="Times New Roman"/>
                      <w:snapToGrid w:val="0"/>
                      <w:color w:val="auto"/>
                      <w:sz w:val="21"/>
                      <w:szCs w:val="21"/>
                    </w:rPr>
                    <w:t>是</w:t>
                  </w:r>
                  <w:r>
                    <w:rPr>
                      <w:rFonts w:cs="Times New Roman"/>
                      <w:snapToGrid w:val="0"/>
                      <w:color w:val="auto"/>
                      <w:sz w:val="21"/>
                      <w:szCs w:val="21"/>
                    </w:rPr>
                    <w:sym w:font="Wingdings" w:char="00FE"/>
                  </w:r>
                  <w:r>
                    <w:rPr>
                      <w:rFonts w:cs="Times New Roman"/>
                      <w:snapToGrid w:val="0"/>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2208" w:type="dxa"/>
                  <w:vMerge w:val="continue"/>
                  <w:tcBorders>
                    <w:tl2br w:val="nil"/>
                    <w:tr2bl w:val="nil"/>
                  </w:tcBorders>
                  <w:vAlign w:val="center"/>
                </w:tcPr>
                <w:p>
                  <w:pPr>
                    <w:tabs>
                      <w:tab w:val="left" w:pos="0"/>
                    </w:tabs>
                    <w:adjustRightInd w:val="0"/>
                    <w:spacing w:line="240" w:lineRule="auto"/>
                    <w:rPr>
                      <w:rFonts w:cs="Times New Roman"/>
                      <w:snapToGrid w:val="0"/>
                      <w:color w:val="auto"/>
                      <w:sz w:val="21"/>
                      <w:szCs w:val="21"/>
                    </w:rPr>
                  </w:pPr>
                </w:p>
              </w:tc>
              <w:tc>
                <w:tcPr>
                  <w:tcW w:w="2720"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地形数据分辨率/m</w:t>
                  </w:r>
                </w:p>
              </w:tc>
              <w:tc>
                <w:tcPr>
                  <w:tcW w:w="3051"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2208" w:type="dxa"/>
                  <w:vMerge w:val="restart"/>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是否考虑岸线熏烟</w:t>
                  </w:r>
                </w:p>
              </w:tc>
              <w:tc>
                <w:tcPr>
                  <w:tcW w:w="2720"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考虑岸线熏烟</w:t>
                  </w:r>
                </w:p>
              </w:tc>
              <w:tc>
                <w:tcPr>
                  <w:tcW w:w="3051"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sym w:font="Wingdings" w:char="00A8"/>
                  </w:r>
                  <w:r>
                    <w:rPr>
                      <w:rFonts w:cs="Times New Roman"/>
                      <w:snapToGrid w:val="0"/>
                      <w:color w:val="auto"/>
                      <w:sz w:val="21"/>
                      <w:szCs w:val="21"/>
                    </w:rPr>
                    <w:t>是</w:t>
                  </w:r>
                  <w:r>
                    <w:rPr>
                      <w:rFonts w:cs="Times New Roman"/>
                      <w:snapToGrid w:val="0"/>
                      <w:color w:val="auto"/>
                      <w:sz w:val="21"/>
                      <w:szCs w:val="21"/>
                    </w:rPr>
                    <w:sym w:font="Wingdings" w:char="00FE"/>
                  </w:r>
                  <w:r>
                    <w:rPr>
                      <w:rFonts w:cs="Times New Roman"/>
                      <w:snapToGrid w:val="0"/>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2208" w:type="dxa"/>
                  <w:vMerge w:val="continue"/>
                  <w:tcBorders>
                    <w:tl2br w:val="nil"/>
                    <w:tr2bl w:val="nil"/>
                  </w:tcBorders>
                  <w:vAlign w:val="center"/>
                </w:tcPr>
                <w:p>
                  <w:pPr>
                    <w:tabs>
                      <w:tab w:val="left" w:pos="0"/>
                    </w:tabs>
                    <w:adjustRightInd w:val="0"/>
                    <w:spacing w:line="240" w:lineRule="auto"/>
                    <w:rPr>
                      <w:rFonts w:cs="Times New Roman"/>
                      <w:snapToGrid w:val="0"/>
                      <w:color w:val="auto"/>
                      <w:sz w:val="21"/>
                      <w:szCs w:val="21"/>
                    </w:rPr>
                  </w:pPr>
                </w:p>
              </w:tc>
              <w:tc>
                <w:tcPr>
                  <w:tcW w:w="2720"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岸线距离/km</w:t>
                  </w:r>
                </w:p>
              </w:tc>
              <w:tc>
                <w:tcPr>
                  <w:tcW w:w="3051"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2208" w:type="dxa"/>
                  <w:vMerge w:val="continue"/>
                  <w:tcBorders>
                    <w:tl2br w:val="nil"/>
                    <w:tr2bl w:val="nil"/>
                  </w:tcBorders>
                  <w:vAlign w:val="center"/>
                </w:tcPr>
                <w:p>
                  <w:pPr>
                    <w:tabs>
                      <w:tab w:val="left" w:pos="0"/>
                    </w:tabs>
                    <w:adjustRightInd w:val="0"/>
                    <w:spacing w:line="240" w:lineRule="auto"/>
                    <w:rPr>
                      <w:rFonts w:cs="Times New Roman"/>
                      <w:snapToGrid w:val="0"/>
                      <w:color w:val="auto"/>
                      <w:sz w:val="21"/>
                      <w:szCs w:val="21"/>
                    </w:rPr>
                  </w:pPr>
                </w:p>
              </w:tc>
              <w:tc>
                <w:tcPr>
                  <w:tcW w:w="2720"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岸线方向/°</w:t>
                  </w:r>
                </w:p>
              </w:tc>
              <w:tc>
                <w:tcPr>
                  <w:tcW w:w="3051" w:type="dxa"/>
                  <w:tcBorders>
                    <w:tl2br w:val="nil"/>
                    <w:tr2bl w:val="nil"/>
                  </w:tcBorders>
                  <w:vAlign w:val="center"/>
                </w:tcPr>
                <w:p>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表</w:t>
            </w:r>
            <w:r>
              <w:rPr>
                <w:rFonts w:hint="eastAsia"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rPr>
              <w:t>主要污染源估算模型计算结果表</w:t>
            </w:r>
          </w:p>
          <w:tbl>
            <w:tblPr>
              <w:tblStyle w:val="15"/>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554"/>
              <w:gridCol w:w="1130"/>
              <w:gridCol w:w="1465"/>
              <w:gridCol w:w="1525"/>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7" w:type="pct"/>
                  <w:vMerge w:val="restart"/>
                  <w:shd w:val="clear" w:color="auto" w:fill="auto"/>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下风向距离/m</w:t>
                  </w:r>
                </w:p>
              </w:tc>
              <w:tc>
                <w:tcPr>
                  <w:tcW w:w="1674" w:type="pct"/>
                  <w:gridSpan w:val="2"/>
                  <w:shd w:val="clear" w:color="auto" w:fill="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val="en-US" w:eastAsia="zh-CN"/>
                    </w:rPr>
                    <w:t>原料库</w:t>
                  </w:r>
                </w:p>
              </w:tc>
              <w:tc>
                <w:tcPr>
                  <w:tcW w:w="914" w:type="pct"/>
                  <w:vMerge w:val="restart"/>
                  <w:shd w:val="clear" w:color="auto" w:fill="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下风向距离/m</w:t>
                  </w:r>
                </w:p>
              </w:tc>
              <w:tc>
                <w:tcPr>
                  <w:tcW w:w="1613" w:type="pct"/>
                  <w:gridSpan w:val="2"/>
                  <w:shd w:val="clear" w:color="auto" w:fill="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val="en-US" w:eastAsia="zh-CN"/>
                    </w:rPr>
                    <w:t>成品库存车间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7" w:type="pct"/>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firstLine="422"/>
                    <w:jc w:val="center"/>
                    <w:rPr>
                      <w:rFonts w:hint="default" w:ascii="Times New Roman" w:hAnsi="Times New Roman" w:eastAsia="宋体" w:cs="Times New Roman"/>
                      <w:b/>
                      <w:bCs/>
                      <w:color w:val="auto"/>
                      <w:sz w:val="21"/>
                      <w:szCs w:val="21"/>
                      <w:highlight w:val="none"/>
                    </w:rPr>
                  </w:pPr>
                </w:p>
              </w:tc>
              <w:tc>
                <w:tcPr>
                  <w:tcW w:w="1674" w:type="pct"/>
                  <w:gridSpan w:val="2"/>
                  <w:shd w:val="clear" w:color="auto" w:fill="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颗粒物</w:t>
                  </w:r>
                </w:p>
              </w:tc>
              <w:tc>
                <w:tcPr>
                  <w:tcW w:w="914" w:type="pct"/>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p>
              </w:tc>
              <w:tc>
                <w:tcPr>
                  <w:tcW w:w="1613" w:type="pct"/>
                  <w:gridSpan w:val="2"/>
                  <w:shd w:val="clear" w:color="auto" w:fill="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97" w:type="pct"/>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firstLine="422"/>
                    <w:jc w:val="center"/>
                    <w:rPr>
                      <w:rFonts w:hint="default" w:ascii="Times New Roman" w:hAnsi="Times New Roman" w:eastAsia="宋体" w:cs="Times New Roman"/>
                      <w:b/>
                      <w:bCs/>
                      <w:color w:val="auto"/>
                      <w:sz w:val="21"/>
                      <w:szCs w:val="21"/>
                      <w:highlight w:val="none"/>
                    </w:rPr>
                  </w:pPr>
                </w:p>
              </w:tc>
              <w:tc>
                <w:tcPr>
                  <w:tcW w:w="969" w:type="pct"/>
                  <w:shd w:val="clear" w:color="auto" w:fill="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预测质量浓度/（mg/m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705" w:type="pct"/>
                  <w:shd w:val="clear" w:color="auto" w:fill="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占标率/%</w:t>
                  </w:r>
                </w:p>
              </w:tc>
              <w:tc>
                <w:tcPr>
                  <w:tcW w:w="914" w:type="pct"/>
                  <w:vMerge w:val="continue"/>
                  <w:shd w:val="clear" w:color="auto" w:fill="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951" w:type="pct"/>
                  <w:shd w:val="clear" w:color="auto" w:fill="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zh-CN" w:eastAsia="zh-CN" w:bidi="zh-CN"/>
                    </w:rPr>
                  </w:pPr>
                  <w:r>
                    <w:rPr>
                      <w:rFonts w:hint="default" w:ascii="Times New Roman" w:hAnsi="Times New Roman" w:eastAsia="宋体" w:cs="Times New Roman"/>
                      <w:b/>
                      <w:bCs/>
                      <w:color w:val="auto"/>
                      <w:sz w:val="21"/>
                      <w:szCs w:val="21"/>
                      <w:highlight w:val="none"/>
                    </w:rPr>
                    <w:t>预测质量浓度/（mg/m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661" w:type="pct"/>
                  <w:shd w:val="clear" w:color="auto" w:fill="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zh-CN" w:eastAsia="zh-CN" w:bidi="zh-CN"/>
                    </w:rPr>
                  </w:pPr>
                  <w:r>
                    <w:rPr>
                      <w:rFonts w:hint="default" w:ascii="Times New Roman" w:hAnsi="Times New Roman" w:eastAsia="宋体" w:cs="Times New Roman"/>
                      <w:b/>
                      <w:bCs/>
                      <w:color w:val="auto"/>
                      <w:sz w:val="21"/>
                      <w:szCs w:val="21"/>
                      <w:highlight w:val="none"/>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0.026919</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2.99</w:t>
                  </w:r>
                </w:p>
              </w:tc>
              <w:tc>
                <w:tcPr>
                  <w:tcW w:w="14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0.0217</w:t>
                  </w:r>
                </w:p>
              </w:tc>
              <w:tc>
                <w:tcPr>
                  <w:tcW w:w="106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5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0.042818</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4.76</w:t>
                  </w:r>
                </w:p>
              </w:tc>
              <w:tc>
                <w:tcPr>
                  <w:tcW w:w="14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5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0.046701</w:t>
                  </w:r>
                </w:p>
              </w:tc>
              <w:tc>
                <w:tcPr>
                  <w:tcW w:w="106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0.056873</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6.32</w:t>
                  </w:r>
                </w:p>
              </w:tc>
              <w:tc>
                <w:tcPr>
                  <w:tcW w:w="14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0.06351</w:t>
                  </w:r>
                </w:p>
              </w:tc>
              <w:tc>
                <w:tcPr>
                  <w:tcW w:w="106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w:t>
                  </w:r>
                </w:p>
              </w:tc>
              <w:tc>
                <w:tcPr>
                  <w:tcW w:w="15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0.061336</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6.82</w:t>
                  </w:r>
                </w:p>
              </w:tc>
              <w:tc>
                <w:tcPr>
                  <w:tcW w:w="14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w:t>
                  </w:r>
                </w:p>
              </w:tc>
              <w:tc>
                <w:tcPr>
                  <w:tcW w:w="15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0.064869</w:t>
                  </w:r>
                </w:p>
              </w:tc>
              <w:tc>
                <w:tcPr>
                  <w:tcW w:w="106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92</w:t>
                  </w:r>
                </w:p>
              </w:tc>
              <w:tc>
                <w:tcPr>
                  <w:tcW w:w="15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0.062581</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6.95</w:t>
                  </w:r>
                </w:p>
              </w:tc>
              <w:tc>
                <w:tcPr>
                  <w:tcW w:w="14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w:t>
                  </w:r>
                </w:p>
              </w:tc>
              <w:tc>
                <w:tcPr>
                  <w:tcW w:w="15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0.063628</w:t>
                  </w:r>
                </w:p>
              </w:tc>
              <w:tc>
                <w:tcPr>
                  <w:tcW w:w="106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0.062162</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6.91</w:t>
                  </w:r>
                </w:p>
              </w:tc>
              <w:tc>
                <w:tcPr>
                  <w:tcW w:w="14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0.061624</w:t>
                  </w:r>
                </w:p>
              </w:tc>
              <w:tc>
                <w:tcPr>
                  <w:tcW w:w="106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5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0.052285</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5.81</w:t>
                  </w:r>
                </w:p>
              </w:tc>
              <w:tc>
                <w:tcPr>
                  <w:tcW w:w="14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0.046855</w:t>
                  </w:r>
                </w:p>
              </w:tc>
              <w:tc>
                <w:tcPr>
                  <w:tcW w:w="106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0.047721</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w:t>
                  </w:r>
                </w:p>
              </w:tc>
              <w:tc>
                <w:tcPr>
                  <w:tcW w:w="14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5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0.038133</w:t>
                  </w:r>
                </w:p>
              </w:tc>
              <w:tc>
                <w:tcPr>
                  <w:tcW w:w="106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5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0.038634</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4.29</w:t>
                  </w:r>
                </w:p>
              </w:tc>
              <w:tc>
                <w:tcPr>
                  <w:tcW w:w="14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0.03048</w:t>
                  </w:r>
                </w:p>
              </w:tc>
              <w:tc>
                <w:tcPr>
                  <w:tcW w:w="106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2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0.03075</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3.42</w:t>
                  </w:r>
                </w:p>
              </w:tc>
              <w:tc>
                <w:tcPr>
                  <w:tcW w:w="14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2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0.024695</w:t>
                  </w:r>
                </w:p>
              </w:tc>
              <w:tc>
                <w:tcPr>
                  <w:tcW w:w="106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97" w:type="pct"/>
                  <w:shd w:val="clear" w:color="auto" w:fill="auto"/>
                  <w:vAlign w:val="center"/>
                </w:tcPr>
                <w:p>
                  <w:pPr>
                    <w:bidi w:val="0"/>
                    <w:rPr>
                      <w:rFonts w:hint="default" w:ascii="Times New Roman" w:hAnsi="Times New Roman" w:cs="Times New Roman"/>
                      <w:color w:val="auto"/>
                      <w:sz w:val="21"/>
                      <w:szCs w:val="21"/>
                      <w:highlight w:val="none"/>
                    </w:rPr>
                  </w:pPr>
                  <w:r>
                    <w:rPr>
                      <w:rFonts w:hint="eastAsia" w:ascii="宋体" w:hAnsi="宋体" w:eastAsia="宋体" w:cs="宋体"/>
                      <w:color w:val="auto"/>
                      <w:sz w:val="21"/>
                      <w:szCs w:val="21"/>
                      <w:highlight w:val="none"/>
                    </w:rPr>
                    <w:t>下风向最大质量浓度及占标率</w:t>
                  </w:r>
                  <w:r>
                    <w:rPr>
                      <w:rFonts w:hint="default" w:ascii="Times New Roman" w:hAnsi="Times New Roman" w:eastAsia="宋体" w:cs="Times New Roman"/>
                      <w:color w:val="auto"/>
                      <w:sz w:val="21"/>
                      <w:szCs w:val="21"/>
                      <w:highlight w:val="none"/>
                    </w:rPr>
                    <w:t>/%</w:t>
                  </w:r>
                </w:p>
              </w:tc>
              <w:tc>
                <w:tcPr>
                  <w:tcW w:w="15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0.062581</w:t>
                  </w:r>
                </w:p>
              </w:tc>
              <w:tc>
                <w:tcPr>
                  <w:tcW w:w="113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6.95</w:t>
                  </w:r>
                </w:p>
              </w:tc>
              <w:tc>
                <w:tcPr>
                  <w:tcW w:w="914" w:type="pct"/>
                  <w:shd w:val="clear" w:color="auto" w:fill="auto"/>
                  <w:vAlign w:val="center"/>
                </w:tcPr>
                <w:p>
                  <w:pPr>
                    <w:bidi w:val="0"/>
                    <w:rPr>
                      <w:rFonts w:hint="eastAsia" w:ascii="Times New Roman" w:hAnsi="Times New Roman" w:eastAsia="宋体" w:cs="Times New Roman"/>
                      <w:color w:val="auto"/>
                      <w:sz w:val="21"/>
                      <w:szCs w:val="21"/>
                      <w:highlight w:val="none"/>
                      <w:lang w:val="en-US" w:eastAsia="zh-CN" w:bidi="zh-CN"/>
                    </w:rPr>
                  </w:pPr>
                  <w:r>
                    <w:rPr>
                      <w:rFonts w:hint="eastAsia" w:ascii="宋体" w:hAnsi="宋体" w:eastAsia="宋体" w:cs="宋体"/>
                      <w:color w:val="auto"/>
                      <w:sz w:val="21"/>
                      <w:szCs w:val="21"/>
                      <w:highlight w:val="none"/>
                    </w:rPr>
                    <w:t>下风向最大质量浓度及占标率</w:t>
                  </w:r>
                  <w:r>
                    <w:rPr>
                      <w:rFonts w:hint="default" w:ascii="Times New Roman" w:hAnsi="Times New Roman" w:eastAsia="宋体" w:cs="Times New Roman"/>
                      <w:color w:val="auto"/>
                      <w:sz w:val="21"/>
                      <w:szCs w:val="21"/>
                      <w:highlight w:val="none"/>
                    </w:rPr>
                    <w:t>/%</w:t>
                  </w:r>
                </w:p>
              </w:tc>
              <w:tc>
                <w:tcPr>
                  <w:tcW w:w="1525"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0.064869</w:t>
                  </w:r>
                </w:p>
              </w:tc>
              <w:tc>
                <w:tcPr>
                  <w:tcW w:w="1061"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7.21</w:t>
                  </w:r>
                </w:p>
              </w:tc>
            </w:tr>
          </w:tbl>
          <w:p>
            <w:pPr>
              <w:pStyle w:val="2"/>
              <w:keepNext w:val="0"/>
              <w:keepLines w:val="0"/>
              <w:pageBreakBefore w:val="0"/>
              <w:widowControl w:val="0"/>
              <w:kinsoku/>
              <w:wordWrap/>
              <w:overflowPunct/>
              <w:topLinePunct w:val="0"/>
              <w:autoSpaceDE w:val="0"/>
              <w:autoSpaceDN w:val="0"/>
              <w:bidi w:val="0"/>
              <w:snapToGrid/>
              <w:spacing w:line="500" w:lineRule="exact"/>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由上表可知，本项目</w:t>
            </w:r>
            <w:r>
              <w:rPr>
                <w:rFonts w:hint="default" w:ascii="Times New Roman" w:hAnsi="Times New Roman" w:cs="Times New Roman"/>
                <w:color w:val="auto"/>
                <w:sz w:val="24"/>
                <w:szCs w:val="24"/>
                <w:highlight w:val="none"/>
                <w:lang w:eastAsia="zh-CN"/>
              </w:rPr>
              <w:t>原料库</w:t>
            </w:r>
            <w:r>
              <w:rPr>
                <w:rFonts w:hint="default" w:ascii="Times New Roman" w:hAnsi="Times New Roman" w:cs="Times New Roman"/>
                <w:color w:val="auto"/>
                <w:sz w:val="24"/>
                <w:szCs w:val="24"/>
                <w:highlight w:val="none"/>
              </w:rPr>
              <w:t>无组织排放的颗粒物最大地面落地浓度</w:t>
            </w:r>
            <w:r>
              <w:rPr>
                <w:rFonts w:hint="default" w:ascii="Times New Roman" w:hAnsi="Times New Roman" w:cs="Times New Roman"/>
                <w:i w:val="0"/>
                <w:iCs w:val="0"/>
                <w:color w:val="auto"/>
                <w:kern w:val="0"/>
                <w:sz w:val="24"/>
                <w:szCs w:val="24"/>
                <w:highlight w:val="none"/>
                <w:u w:val="none"/>
                <w:lang w:val="en-US" w:eastAsia="zh-CN" w:bidi="ar"/>
              </w:rPr>
              <w:t>0.062581</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成品库存车间</w:t>
            </w:r>
            <w:r>
              <w:rPr>
                <w:rFonts w:hint="default" w:ascii="Times New Roman" w:hAnsi="Times New Roman" w:cs="Times New Roman"/>
                <w:color w:val="auto"/>
                <w:sz w:val="24"/>
                <w:szCs w:val="24"/>
                <w:highlight w:val="none"/>
              </w:rPr>
              <w:t>无组织排放的颗粒物最大地面落地浓度</w:t>
            </w:r>
            <w:r>
              <w:rPr>
                <w:rFonts w:hint="default" w:ascii="Times New Roman" w:hAnsi="Times New Roman" w:eastAsia="宋体" w:cs="Times New Roman"/>
                <w:i w:val="0"/>
                <w:iCs w:val="0"/>
                <w:color w:val="000000"/>
                <w:kern w:val="0"/>
                <w:sz w:val="24"/>
                <w:szCs w:val="24"/>
                <w:u w:val="none"/>
                <w:lang w:val="en-US" w:eastAsia="zh-CN" w:bidi="ar"/>
              </w:rPr>
              <w:t>0.064869</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，可满足</w:t>
            </w:r>
            <w:r>
              <w:rPr>
                <w:rFonts w:hint="default" w:ascii="Times New Roman" w:hAnsi="Times New Roman" w:cs="Times New Roman"/>
                <w:sz w:val="24"/>
                <w:szCs w:val="24"/>
                <w:highlight w:val="none"/>
              </w:rPr>
              <w:t>《大气污染物综合排放标准》（GB16297-1996）表2中：</w:t>
            </w:r>
            <w:r>
              <w:rPr>
                <w:rFonts w:hint="default" w:ascii="Times New Roman" w:hAnsi="Times New Roman" w:cs="Times New Roman"/>
                <w:sz w:val="24"/>
                <w:szCs w:val="24"/>
                <w:highlight w:val="none"/>
                <w:lang w:val="zh-CN"/>
              </w:rPr>
              <w:t>颗粒物无组织排放周界外浓度最高点1.0mg/Nm</w:t>
            </w:r>
            <w:r>
              <w:rPr>
                <w:rFonts w:hint="default" w:ascii="Times New Roman" w:hAnsi="Times New Roman" w:cs="Times New Roman"/>
                <w:sz w:val="24"/>
                <w:szCs w:val="24"/>
                <w:highlight w:val="none"/>
                <w:vertAlign w:val="superscript"/>
                <w:lang w:val="zh-CN"/>
              </w:rPr>
              <w:t>3</w:t>
            </w:r>
            <w:r>
              <w:rPr>
                <w:rFonts w:hint="default" w:ascii="Times New Roman" w:hAnsi="Times New Roman" w:cs="Times New Roman"/>
                <w:sz w:val="24"/>
                <w:szCs w:val="24"/>
                <w:highlight w:val="none"/>
              </w:rPr>
              <w:t>，实现达标排放。</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200"/>
              <w:textAlignment w:val="auto"/>
              <w:rPr>
                <w:rFonts w:hint="eastAsia"/>
                <w:color w:val="auto"/>
                <w:sz w:val="24"/>
                <w:szCs w:val="24"/>
                <w:lang w:val="en-US" w:eastAsia="zh-CN"/>
              </w:rPr>
            </w:pPr>
            <w:r>
              <w:rPr>
                <w:rFonts w:hint="eastAsia"/>
                <w:color w:val="auto"/>
                <w:sz w:val="24"/>
                <w:szCs w:val="24"/>
                <w:lang w:val="en-US" w:eastAsia="zh-CN"/>
              </w:rPr>
              <w:t>（2）排气筒高度达标分析</w:t>
            </w:r>
          </w:p>
          <w:p>
            <w:pPr>
              <w:pStyle w:val="2"/>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textAlignment w:val="auto"/>
              <w:rPr>
                <w:rFonts w:hint="eastAsia"/>
                <w:color w:val="auto"/>
                <w:lang w:val="en-US" w:eastAsia="zh-CN"/>
              </w:rPr>
            </w:pPr>
            <w:r>
              <w:rPr>
                <w:rFonts w:hint="eastAsia"/>
                <w:color w:val="auto"/>
                <w:lang w:val="en-US" w:eastAsia="zh-CN"/>
              </w:rPr>
              <w:t>①破碎、筛分系统排气筒</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eastAsia"/>
                <w:color w:val="auto"/>
                <w:lang w:val="en-US" w:eastAsia="zh-CN"/>
              </w:rPr>
            </w:pPr>
            <w:r>
              <w:rPr>
                <w:rFonts w:hint="eastAsia"/>
                <w:color w:val="auto"/>
                <w:lang w:val="en-US" w:eastAsia="zh-CN"/>
              </w:rPr>
              <w:t>根据</w:t>
            </w:r>
            <w:r>
              <w:rPr>
                <w:rFonts w:hint="default" w:ascii="Times New Roman" w:hAnsi="Times New Roman" w:eastAsia="宋体" w:cs="Times New Roman"/>
                <w:color w:val="auto"/>
                <w:sz w:val="24"/>
                <w:szCs w:val="24"/>
              </w:rPr>
              <w:t>《大气污染物综合排放标准》（GB16297-1996）表2中二级标准</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32"/>
              </w:rPr>
              <w:t>颗粒物有组织排放浓度120mg/Nm</w:t>
            </w:r>
            <w:r>
              <w:rPr>
                <w:rFonts w:hint="default" w:ascii="Times New Roman" w:hAnsi="Times New Roman" w:eastAsia="宋体" w:cs="Times New Roman"/>
                <w:color w:val="auto"/>
                <w:sz w:val="24"/>
                <w:szCs w:val="32"/>
                <w:vertAlign w:val="superscript"/>
              </w:rPr>
              <w:t>3</w:t>
            </w:r>
            <w:r>
              <w:rPr>
                <w:rFonts w:hint="default" w:ascii="Times New Roman" w:hAnsi="Times New Roman" w:eastAsia="宋体" w:cs="Times New Roman"/>
                <w:color w:val="auto"/>
                <w:sz w:val="24"/>
                <w:szCs w:val="32"/>
              </w:rPr>
              <w:t>，排放速率</w:t>
            </w:r>
            <w:r>
              <w:rPr>
                <w:rFonts w:hint="eastAsia" w:cs="Times New Roman"/>
                <w:color w:val="auto"/>
                <w:sz w:val="24"/>
                <w:szCs w:val="32"/>
                <w:lang w:val="en-US" w:eastAsia="zh-CN"/>
              </w:rPr>
              <w:t>3.5</w:t>
            </w:r>
            <w:r>
              <w:rPr>
                <w:rFonts w:hint="default" w:ascii="Times New Roman" w:hAnsi="Times New Roman" w:eastAsia="宋体" w:cs="Times New Roman"/>
                <w:color w:val="auto"/>
                <w:sz w:val="24"/>
                <w:szCs w:val="32"/>
              </w:rPr>
              <w:t>kg/h，排气筒高度</w:t>
            </w:r>
            <w:r>
              <w:rPr>
                <w:rFonts w:hint="eastAsia" w:cs="Times New Roman"/>
                <w:color w:val="auto"/>
                <w:sz w:val="24"/>
                <w:szCs w:val="32"/>
                <w:lang w:val="en-US" w:eastAsia="zh-CN"/>
              </w:rPr>
              <w:t>15</w:t>
            </w:r>
            <w:r>
              <w:rPr>
                <w:rFonts w:hint="default" w:ascii="Times New Roman" w:hAnsi="Times New Roman" w:eastAsia="宋体" w:cs="Times New Roman"/>
                <w:color w:val="auto"/>
                <w:sz w:val="24"/>
                <w:szCs w:val="32"/>
                <w:lang w:val="en-US" w:eastAsia="zh-CN"/>
              </w:rPr>
              <w:t>m</w:t>
            </w:r>
            <w:r>
              <w:rPr>
                <w:rFonts w:hint="eastAsia"/>
                <w:color w:val="auto"/>
                <w:lang w:val="en-US" w:eastAsia="zh-CN"/>
              </w:rPr>
              <w:t>，还应高出周围200m半径范围的建筑物5m以上</w:t>
            </w:r>
            <w:r>
              <w:rPr>
                <w:rFonts w:hint="default" w:ascii="Times New Roman" w:hAnsi="Times New Roman" w:eastAsia="宋体" w:cs="Times New Roman"/>
                <w:color w:val="auto"/>
                <w:sz w:val="24"/>
                <w:szCs w:val="32"/>
              </w:rPr>
              <w:t>；</w:t>
            </w:r>
            <w:r>
              <w:rPr>
                <w:rFonts w:hint="eastAsia"/>
                <w:color w:val="auto"/>
                <w:highlight w:val="none"/>
                <w:lang w:val="en-US" w:eastAsia="zh-CN"/>
              </w:rPr>
              <w:t>本项目封闭式生产车间高14.5m，排气筒DA001的高度为20m，高于封闭式生产车间5</w:t>
            </w:r>
            <w:r>
              <w:rPr>
                <w:rFonts w:hint="eastAsia"/>
                <w:lang w:val="en-US" w:eastAsia="zh-CN"/>
              </w:rPr>
              <w:t>.5</w:t>
            </w:r>
            <w:r>
              <w:rPr>
                <w:rFonts w:hint="eastAsia"/>
                <w:color w:val="auto"/>
                <w:highlight w:val="none"/>
                <w:lang w:val="en-US" w:eastAsia="zh-CN"/>
              </w:rPr>
              <w:t>m。因此，本项目搅拌系统排气排气筒高度设置合理。</w:t>
            </w:r>
          </w:p>
          <w:p>
            <w:pPr>
              <w:keepNext w:val="0"/>
              <w:keepLines w:val="0"/>
              <w:pageBreakBefore w:val="0"/>
              <w:widowControl w:val="0"/>
              <w:kinsoku/>
              <w:wordWrap/>
              <w:overflowPunct/>
              <w:topLinePunct w:val="0"/>
              <w:autoSpaceDE w:val="0"/>
              <w:autoSpaceDN w:val="0"/>
              <w:bidi w:val="0"/>
              <w:snapToGrid/>
              <w:spacing w:line="500" w:lineRule="exact"/>
              <w:ind w:firstLine="482" w:firstLineChars="200"/>
              <w:jc w:val="left"/>
              <w:textAlignment w:val="auto"/>
              <w:rPr>
                <w:b/>
                <w:bCs/>
                <w:color w:val="auto"/>
                <w:lang w:val="en-US"/>
              </w:rPr>
            </w:pPr>
            <w:r>
              <w:rPr>
                <w:rFonts w:hint="eastAsia"/>
                <w:b/>
                <w:bCs/>
                <w:color w:val="auto"/>
                <w:lang w:val="en-US"/>
              </w:rPr>
              <w:t>1</w:t>
            </w:r>
            <w:r>
              <w:rPr>
                <w:rFonts w:hint="eastAsia"/>
                <w:b/>
                <w:bCs/>
                <w:color w:val="auto"/>
                <w:lang w:val="en-US" w:eastAsia="zh-CN"/>
              </w:rPr>
              <w:t>.6</w:t>
            </w:r>
            <w:r>
              <w:rPr>
                <w:rFonts w:hint="eastAsia"/>
                <w:b/>
                <w:bCs/>
                <w:color w:val="auto"/>
                <w:lang w:val="en-US"/>
              </w:rPr>
              <w:t>非正常工况废气排放情况</w:t>
            </w:r>
          </w:p>
          <w:p>
            <w:pPr>
              <w:keepNext w:val="0"/>
              <w:keepLines w:val="0"/>
              <w:pageBreakBefore w:val="0"/>
              <w:widowControl w:val="0"/>
              <w:kinsoku/>
              <w:wordWrap/>
              <w:overflowPunct/>
              <w:topLinePunct w:val="0"/>
              <w:autoSpaceDE w:val="0"/>
              <w:autoSpaceDN w:val="0"/>
              <w:bidi w:val="0"/>
              <w:snapToGrid/>
              <w:spacing w:line="500" w:lineRule="exact"/>
              <w:ind w:firstLine="480" w:firstLineChars="200"/>
              <w:jc w:val="left"/>
              <w:textAlignment w:val="auto"/>
              <w:rPr>
                <w:rFonts w:cs="Times New Roman"/>
                <w:b/>
                <w:bCs/>
                <w:color w:val="auto"/>
                <w:sz w:val="21"/>
                <w:szCs w:val="21"/>
                <w:highlight w:val="none"/>
              </w:rPr>
            </w:pPr>
            <w:r>
              <w:rPr>
                <w:rFonts w:hint="eastAsia"/>
                <w:color w:val="auto"/>
                <w:highlight w:val="none"/>
                <w:lang w:val="en-US"/>
              </w:rPr>
              <w:t>根据项目生产工艺特征和污染物产生情况，本次项目喷淋设施失效的可能性不大，本次非正常排放按照抑尘设施失效时，废气在车间内直接排放，按直接排放进行核算，由此核算非正常工况状态下污染物排放情况见下表。</w:t>
            </w:r>
          </w:p>
          <w:p>
            <w:pPr>
              <w:autoSpaceDE/>
              <w:autoSpaceDN/>
              <w:spacing w:line="240" w:lineRule="auto"/>
              <w:rPr>
                <w:rFonts w:cs="Times New Roman"/>
                <w:b/>
                <w:bCs/>
                <w:color w:val="auto"/>
                <w:sz w:val="21"/>
                <w:szCs w:val="21"/>
                <w:highlight w:val="none"/>
              </w:rPr>
            </w:pPr>
            <w:r>
              <w:rPr>
                <w:rFonts w:cs="Times New Roman"/>
                <w:b/>
                <w:bCs/>
                <w:color w:val="auto"/>
                <w:sz w:val="21"/>
                <w:szCs w:val="21"/>
                <w:highlight w:val="none"/>
              </w:rPr>
              <w:t>表</w:t>
            </w:r>
            <w:r>
              <w:rPr>
                <w:rFonts w:hint="eastAsia" w:cs="Times New Roman"/>
                <w:b/>
                <w:bCs/>
                <w:color w:val="auto"/>
                <w:sz w:val="21"/>
                <w:szCs w:val="21"/>
                <w:highlight w:val="none"/>
                <w:lang w:val="en-US"/>
              </w:rPr>
              <w:t>4-</w:t>
            </w:r>
            <w:r>
              <w:rPr>
                <w:rFonts w:hint="eastAsia" w:cs="Times New Roman"/>
                <w:b/>
                <w:bCs/>
                <w:color w:val="auto"/>
                <w:sz w:val="21"/>
                <w:szCs w:val="21"/>
                <w:highlight w:val="none"/>
                <w:lang w:val="en-US" w:eastAsia="zh-CN"/>
              </w:rPr>
              <w:t>8</w:t>
            </w:r>
            <w:r>
              <w:rPr>
                <w:rFonts w:hint="eastAsia" w:cs="Times New Roman"/>
                <w:b/>
                <w:bCs/>
                <w:color w:val="auto"/>
                <w:sz w:val="21"/>
                <w:szCs w:val="21"/>
                <w:highlight w:val="none"/>
              </w:rPr>
              <w:t>非正常工况排放参数表</w:t>
            </w:r>
          </w:p>
          <w:tbl>
            <w:tblPr>
              <w:tblStyle w:val="16"/>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879"/>
              <w:gridCol w:w="712"/>
              <w:gridCol w:w="1303"/>
              <w:gridCol w:w="1070"/>
              <w:gridCol w:w="823"/>
              <w:gridCol w:w="783"/>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522" w:type="pct"/>
                  <w:vAlign w:val="center"/>
                </w:tcPr>
                <w:p>
                  <w:pPr>
                    <w:pStyle w:val="2"/>
                    <w:jc w:val="center"/>
                    <w:rPr>
                      <w:b/>
                      <w:bCs/>
                      <w:color w:val="auto"/>
                      <w:sz w:val="21"/>
                      <w:szCs w:val="21"/>
                      <w:highlight w:val="none"/>
                    </w:rPr>
                  </w:pPr>
                  <w:r>
                    <w:rPr>
                      <w:rFonts w:hint="eastAsia"/>
                      <w:b/>
                      <w:bCs/>
                      <w:color w:val="auto"/>
                      <w:sz w:val="21"/>
                      <w:szCs w:val="21"/>
                      <w:highlight w:val="none"/>
                    </w:rPr>
                    <w:t>非正常排放源</w:t>
                  </w:r>
                </w:p>
              </w:tc>
              <w:tc>
                <w:tcPr>
                  <w:tcW w:w="546" w:type="pct"/>
                  <w:vAlign w:val="center"/>
                </w:tcPr>
                <w:p>
                  <w:pPr>
                    <w:pStyle w:val="2"/>
                    <w:jc w:val="center"/>
                    <w:rPr>
                      <w:b/>
                      <w:bCs/>
                      <w:color w:val="auto"/>
                      <w:sz w:val="21"/>
                      <w:szCs w:val="21"/>
                      <w:highlight w:val="none"/>
                    </w:rPr>
                  </w:pPr>
                  <w:r>
                    <w:rPr>
                      <w:rFonts w:hint="eastAsia"/>
                      <w:b/>
                      <w:bCs/>
                      <w:color w:val="auto"/>
                      <w:sz w:val="21"/>
                      <w:szCs w:val="21"/>
                      <w:highlight w:val="none"/>
                    </w:rPr>
                    <w:t>非正常排放原因</w:t>
                  </w:r>
                </w:p>
              </w:tc>
              <w:tc>
                <w:tcPr>
                  <w:tcW w:w="441" w:type="pct"/>
                  <w:vAlign w:val="center"/>
                </w:tcPr>
                <w:p>
                  <w:pPr>
                    <w:pStyle w:val="2"/>
                    <w:jc w:val="center"/>
                    <w:rPr>
                      <w:b/>
                      <w:bCs/>
                      <w:color w:val="auto"/>
                      <w:sz w:val="21"/>
                      <w:szCs w:val="21"/>
                      <w:highlight w:val="none"/>
                    </w:rPr>
                  </w:pPr>
                  <w:r>
                    <w:rPr>
                      <w:rFonts w:hint="eastAsia"/>
                      <w:b/>
                      <w:bCs/>
                      <w:color w:val="auto"/>
                      <w:sz w:val="21"/>
                      <w:szCs w:val="21"/>
                      <w:highlight w:val="none"/>
                    </w:rPr>
                    <w:t>污染物</w:t>
                  </w:r>
                </w:p>
              </w:tc>
              <w:tc>
                <w:tcPr>
                  <w:tcW w:w="808" w:type="pct"/>
                  <w:vAlign w:val="center"/>
                </w:tcPr>
                <w:p>
                  <w:pPr>
                    <w:pStyle w:val="2"/>
                    <w:jc w:val="center"/>
                    <w:rPr>
                      <w:b/>
                      <w:bCs/>
                      <w:color w:val="auto"/>
                      <w:sz w:val="21"/>
                      <w:szCs w:val="21"/>
                      <w:highlight w:val="none"/>
                    </w:rPr>
                  </w:pPr>
                  <w:r>
                    <w:rPr>
                      <w:rFonts w:hint="eastAsia"/>
                      <w:b/>
                      <w:bCs/>
                      <w:color w:val="auto"/>
                      <w:sz w:val="21"/>
                      <w:szCs w:val="21"/>
                      <w:highlight w:val="none"/>
                    </w:rPr>
                    <w:t>非正常排放浓度（</w:t>
                  </w:r>
                  <w:r>
                    <w:rPr>
                      <w:b/>
                      <w:bCs/>
                      <w:color w:val="auto"/>
                      <w:highlight w:val="none"/>
                    </w:rPr>
                    <w:t>mg/m</w:t>
                  </w:r>
                  <w:r>
                    <w:rPr>
                      <w:b/>
                      <w:bCs/>
                      <w:color w:val="auto"/>
                      <w:highlight w:val="none"/>
                      <w:vertAlign w:val="superscript"/>
                    </w:rPr>
                    <w:t>3</w:t>
                  </w:r>
                  <w:r>
                    <w:rPr>
                      <w:rFonts w:hint="eastAsia"/>
                      <w:b/>
                      <w:bCs/>
                      <w:color w:val="auto"/>
                      <w:sz w:val="21"/>
                      <w:szCs w:val="21"/>
                      <w:highlight w:val="none"/>
                    </w:rPr>
                    <w:t>）</w:t>
                  </w:r>
                </w:p>
              </w:tc>
              <w:tc>
                <w:tcPr>
                  <w:tcW w:w="664" w:type="pct"/>
                  <w:vAlign w:val="center"/>
                </w:tcPr>
                <w:p>
                  <w:pPr>
                    <w:pStyle w:val="2"/>
                    <w:jc w:val="center"/>
                    <w:rPr>
                      <w:b/>
                      <w:bCs/>
                      <w:color w:val="auto"/>
                      <w:sz w:val="21"/>
                      <w:szCs w:val="21"/>
                      <w:highlight w:val="none"/>
                    </w:rPr>
                  </w:pPr>
                  <w:r>
                    <w:rPr>
                      <w:rFonts w:hint="eastAsia"/>
                      <w:b/>
                      <w:bCs/>
                      <w:color w:val="auto"/>
                      <w:sz w:val="21"/>
                      <w:szCs w:val="21"/>
                      <w:highlight w:val="none"/>
                    </w:rPr>
                    <w:t>非正常排放速率（kg/h）</w:t>
                  </w:r>
                </w:p>
              </w:tc>
              <w:tc>
                <w:tcPr>
                  <w:tcW w:w="510" w:type="pct"/>
                  <w:vAlign w:val="center"/>
                </w:tcPr>
                <w:p>
                  <w:pPr>
                    <w:pStyle w:val="2"/>
                    <w:jc w:val="center"/>
                    <w:rPr>
                      <w:b/>
                      <w:bCs/>
                      <w:color w:val="auto"/>
                      <w:sz w:val="21"/>
                      <w:szCs w:val="21"/>
                      <w:highlight w:val="none"/>
                    </w:rPr>
                  </w:pPr>
                  <w:r>
                    <w:rPr>
                      <w:rFonts w:hint="eastAsia"/>
                      <w:b/>
                      <w:bCs/>
                      <w:color w:val="auto"/>
                      <w:sz w:val="21"/>
                      <w:szCs w:val="21"/>
                      <w:highlight w:val="none"/>
                    </w:rPr>
                    <w:t>单次持续时间/h</w:t>
                  </w:r>
                </w:p>
              </w:tc>
              <w:tc>
                <w:tcPr>
                  <w:tcW w:w="486" w:type="pct"/>
                  <w:vAlign w:val="center"/>
                </w:tcPr>
                <w:p>
                  <w:pPr>
                    <w:pStyle w:val="2"/>
                    <w:jc w:val="center"/>
                    <w:rPr>
                      <w:b/>
                      <w:bCs/>
                      <w:color w:val="auto"/>
                      <w:sz w:val="21"/>
                      <w:szCs w:val="21"/>
                      <w:highlight w:val="none"/>
                    </w:rPr>
                  </w:pPr>
                  <w:r>
                    <w:rPr>
                      <w:rFonts w:hint="eastAsia"/>
                      <w:b/>
                      <w:bCs/>
                      <w:color w:val="auto"/>
                      <w:sz w:val="21"/>
                      <w:szCs w:val="21"/>
                      <w:highlight w:val="none"/>
                    </w:rPr>
                    <w:t>年发生频次</w:t>
                  </w:r>
                </w:p>
              </w:tc>
              <w:tc>
                <w:tcPr>
                  <w:tcW w:w="1019" w:type="pct"/>
                  <w:vAlign w:val="center"/>
                </w:tcPr>
                <w:p>
                  <w:pPr>
                    <w:pStyle w:val="2"/>
                    <w:jc w:val="center"/>
                    <w:rPr>
                      <w:b/>
                      <w:bCs/>
                      <w:color w:val="auto"/>
                      <w:sz w:val="21"/>
                      <w:szCs w:val="21"/>
                      <w:highlight w:val="none"/>
                    </w:rPr>
                  </w:pPr>
                  <w:r>
                    <w:rPr>
                      <w:rFonts w:hint="eastAsia"/>
                      <w:b/>
                      <w:bCs/>
                      <w:color w:val="auto"/>
                      <w:sz w:val="21"/>
                      <w:szCs w:val="21"/>
                      <w:highlight w:val="none"/>
                    </w:rPr>
                    <w:t>对应措施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22" w:type="pct"/>
                  <w:vAlign w:val="center"/>
                </w:tcPr>
                <w:p>
                  <w:pPr>
                    <w:pStyle w:val="2"/>
                    <w:jc w:val="center"/>
                    <w:rPr>
                      <w:rFonts w:hint="eastAsia" w:eastAsia="宋体"/>
                      <w:color w:val="auto"/>
                      <w:sz w:val="21"/>
                      <w:szCs w:val="21"/>
                      <w:highlight w:val="none"/>
                      <w:lang w:eastAsia="zh-CN"/>
                    </w:rPr>
                  </w:pPr>
                  <w:r>
                    <w:rPr>
                      <w:rFonts w:hint="eastAsia"/>
                      <w:color w:val="auto"/>
                      <w:sz w:val="21"/>
                      <w:szCs w:val="21"/>
                      <w:highlight w:val="none"/>
                      <w:lang w:eastAsia="zh-CN"/>
                    </w:rPr>
                    <w:t>原料库</w:t>
                  </w:r>
                  <w:r>
                    <w:rPr>
                      <w:rFonts w:hint="eastAsia"/>
                      <w:color w:val="auto"/>
                      <w:sz w:val="21"/>
                      <w:szCs w:val="21"/>
                      <w:lang w:eastAsia="zh-CN"/>
                    </w:rPr>
                    <w:t>、成品库存车间</w:t>
                  </w:r>
                </w:p>
              </w:tc>
              <w:tc>
                <w:tcPr>
                  <w:tcW w:w="546" w:type="pct"/>
                  <w:vAlign w:val="center"/>
                </w:tcPr>
                <w:p>
                  <w:pPr>
                    <w:pStyle w:val="2"/>
                    <w:jc w:val="center"/>
                    <w:rPr>
                      <w:color w:val="auto"/>
                      <w:sz w:val="21"/>
                      <w:szCs w:val="21"/>
                      <w:highlight w:val="none"/>
                    </w:rPr>
                  </w:pPr>
                  <w:r>
                    <w:rPr>
                      <w:rFonts w:hint="eastAsia"/>
                      <w:color w:val="auto"/>
                      <w:sz w:val="21"/>
                      <w:szCs w:val="21"/>
                      <w:highlight w:val="none"/>
                    </w:rPr>
                    <w:t>喷淋设施失效</w:t>
                  </w:r>
                </w:p>
              </w:tc>
              <w:tc>
                <w:tcPr>
                  <w:tcW w:w="441" w:type="pct"/>
                  <w:vAlign w:val="center"/>
                </w:tcPr>
                <w:p>
                  <w:pPr>
                    <w:pStyle w:val="2"/>
                    <w:jc w:val="center"/>
                    <w:rPr>
                      <w:color w:val="auto"/>
                      <w:sz w:val="21"/>
                      <w:szCs w:val="21"/>
                      <w:highlight w:val="none"/>
                    </w:rPr>
                  </w:pPr>
                  <w:r>
                    <w:rPr>
                      <w:rFonts w:hint="eastAsia"/>
                      <w:color w:val="auto"/>
                      <w:sz w:val="21"/>
                      <w:szCs w:val="21"/>
                      <w:highlight w:val="none"/>
                    </w:rPr>
                    <w:t>颗粒物</w:t>
                  </w:r>
                </w:p>
              </w:tc>
              <w:tc>
                <w:tcPr>
                  <w:tcW w:w="808" w:type="pct"/>
                  <w:vAlign w:val="center"/>
                </w:tcPr>
                <w:p>
                  <w:pPr>
                    <w:pStyle w:val="2"/>
                    <w:jc w:val="center"/>
                    <w:rPr>
                      <w:color w:val="auto"/>
                      <w:sz w:val="21"/>
                      <w:szCs w:val="21"/>
                      <w:highlight w:val="none"/>
                    </w:rPr>
                  </w:pPr>
                  <w:r>
                    <w:rPr>
                      <w:rFonts w:hint="eastAsia"/>
                      <w:color w:val="auto"/>
                      <w:sz w:val="21"/>
                      <w:szCs w:val="21"/>
                      <w:highlight w:val="none"/>
                    </w:rPr>
                    <w:t>——</w:t>
                  </w:r>
                </w:p>
              </w:tc>
              <w:tc>
                <w:tcPr>
                  <w:tcW w:w="664" w:type="pct"/>
                  <w:vAlign w:val="center"/>
                </w:tcPr>
                <w:p>
                  <w:pPr>
                    <w:pStyle w:val="2"/>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5.3</w:t>
                  </w:r>
                </w:p>
              </w:tc>
              <w:tc>
                <w:tcPr>
                  <w:tcW w:w="510" w:type="pct"/>
                  <w:vAlign w:val="center"/>
                </w:tcPr>
                <w:p>
                  <w:pPr>
                    <w:pStyle w:val="2"/>
                    <w:jc w:val="center"/>
                    <w:rPr>
                      <w:color w:val="auto"/>
                      <w:sz w:val="21"/>
                      <w:szCs w:val="21"/>
                      <w:highlight w:val="none"/>
                    </w:rPr>
                  </w:pPr>
                  <w:r>
                    <w:rPr>
                      <w:rFonts w:hint="eastAsia"/>
                      <w:color w:val="auto"/>
                      <w:sz w:val="21"/>
                      <w:szCs w:val="21"/>
                      <w:highlight w:val="none"/>
                    </w:rPr>
                    <w:t>5</w:t>
                  </w:r>
                </w:p>
              </w:tc>
              <w:tc>
                <w:tcPr>
                  <w:tcW w:w="486" w:type="pct"/>
                  <w:vAlign w:val="center"/>
                </w:tcPr>
                <w:p>
                  <w:pPr>
                    <w:pStyle w:val="2"/>
                    <w:jc w:val="center"/>
                    <w:rPr>
                      <w:color w:val="auto"/>
                      <w:sz w:val="21"/>
                      <w:szCs w:val="21"/>
                      <w:highlight w:val="none"/>
                    </w:rPr>
                  </w:pPr>
                  <w:r>
                    <w:rPr>
                      <w:rFonts w:hint="eastAsia"/>
                      <w:color w:val="auto"/>
                      <w:sz w:val="21"/>
                      <w:szCs w:val="21"/>
                      <w:highlight w:val="none"/>
                    </w:rPr>
                    <w:t>1</w:t>
                  </w:r>
                </w:p>
              </w:tc>
              <w:tc>
                <w:tcPr>
                  <w:tcW w:w="1019" w:type="pct"/>
                  <w:vMerge w:val="restart"/>
                  <w:vAlign w:val="center"/>
                </w:tcPr>
                <w:p>
                  <w:pPr>
                    <w:pStyle w:val="2"/>
                    <w:jc w:val="center"/>
                    <w:rPr>
                      <w:color w:val="auto"/>
                      <w:sz w:val="21"/>
                      <w:szCs w:val="21"/>
                      <w:highlight w:val="none"/>
                    </w:rPr>
                  </w:pPr>
                  <w:r>
                    <w:rPr>
                      <w:rFonts w:hint="eastAsia"/>
                      <w:color w:val="auto"/>
                      <w:sz w:val="21"/>
                      <w:szCs w:val="21"/>
                      <w:highlight w:val="none"/>
                    </w:rPr>
                    <w:t>对应的生产工艺设备应停止运行，待检修完毕后同步投入使用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22" w:type="pct"/>
                  <w:vAlign w:val="center"/>
                </w:tcPr>
                <w:p>
                  <w:pPr>
                    <w:pStyle w:val="2"/>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DA001</w:t>
                  </w:r>
                </w:p>
              </w:tc>
              <w:tc>
                <w:tcPr>
                  <w:tcW w:w="546" w:type="pct"/>
                  <w:vAlign w:val="center"/>
                </w:tcPr>
                <w:p>
                  <w:pPr>
                    <w:pStyle w:val="2"/>
                    <w:jc w:val="center"/>
                    <w:rPr>
                      <w:rFonts w:hint="eastAsia"/>
                      <w:color w:val="auto"/>
                      <w:sz w:val="21"/>
                      <w:szCs w:val="21"/>
                      <w:highlight w:val="none"/>
                    </w:rPr>
                  </w:pPr>
                  <w:r>
                    <w:rPr>
                      <w:rFonts w:hint="default" w:ascii="Times New Roman" w:hAnsi="Times New Roman" w:cs="Times New Roman"/>
                      <w:color w:val="auto"/>
                      <w:sz w:val="21"/>
                      <w:szCs w:val="21"/>
                      <w:highlight w:val="none"/>
                      <w:vertAlign w:val="baseline"/>
                      <w:lang w:val="en-US" w:eastAsia="zh-CN"/>
                    </w:rPr>
                    <w:t>除尘系统故障</w:t>
                  </w:r>
                </w:p>
              </w:tc>
              <w:tc>
                <w:tcPr>
                  <w:tcW w:w="441" w:type="pct"/>
                  <w:vAlign w:val="center"/>
                </w:tcPr>
                <w:p>
                  <w:pPr>
                    <w:pStyle w:val="2"/>
                    <w:jc w:val="center"/>
                    <w:rPr>
                      <w:rFonts w:hint="eastAsia"/>
                      <w:color w:val="auto"/>
                      <w:sz w:val="21"/>
                      <w:szCs w:val="21"/>
                      <w:highlight w:val="none"/>
                    </w:rPr>
                  </w:pPr>
                  <w:r>
                    <w:rPr>
                      <w:rFonts w:hint="eastAsia"/>
                      <w:color w:val="auto"/>
                      <w:sz w:val="21"/>
                      <w:szCs w:val="21"/>
                      <w:highlight w:val="none"/>
                    </w:rPr>
                    <w:t>颗粒物</w:t>
                  </w:r>
                </w:p>
              </w:tc>
              <w:tc>
                <w:tcPr>
                  <w:tcW w:w="808" w:type="pct"/>
                  <w:vAlign w:val="center"/>
                </w:tcPr>
                <w:p>
                  <w:pPr>
                    <w:pStyle w:val="2"/>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13333.33</w:t>
                  </w:r>
                </w:p>
              </w:tc>
              <w:tc>
                <w:tcPr>
                  <w:tcW w:w="664" w:type="pct"/>
                  <w:vAlign w:val="center"/>
                </w:tcPr>
                <w:p>
                  <w:pPr>
                    <w:pStyle w:val="2"/>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400</w:t>
                  </w:r>
                </w:p>
              </w:tc>
              <w:tc>
                <w:tcPr>
                  <w:tcW w:w="510" w:type="pct"/>
                  <w:vAlign w:val="center"/>
                </w:tcPr>
                <w:p>
                  <w:pPr>
                    <w:pStyle w:val="2"/>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486" w:type="pct"/>
                  <w:vAlign w:val="center"/>
                </w:tcPr>
                <w:p>
                  <w:pPr>
                    <w:pStyle w:val="2"/>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1019" w:type="pct"/>
                  <w:vMerge w:val="continue"/>
                  <w:vAlign w:val="center"/>
                </w:tcPr>
                <w:p>
                  <w:pPr>
                    <w:pStyle w:val="2"/>
                    <w:jc w:val="center"/>
                    <w:rPr>
                      <w:rFonts w:hint="eastAsia"/>
                      <w:color w:val="auto"/>
                      <w:sz w:val="21"/>
                      <w:szCs w:val="21"/>
                      <w:highlight w:val="none"/>
                    </w:rPr>
                  </w:pPr>
                </w:p>
              </w:tc>
            </w:tr>
          </w:tbl>
          <w:p>
            <w:pPr>
              <w:keepNext w:val="0"/>
              <w:keepLines w:val="0"/>
              <w:pageBreakBefore w:val="0"/>
              <w:widowControl w:val="0"/>
              <w:kinsoku/>
              <w:wordWrap/>
              <w:overflowPunct/>
              <w:topLinePunct w:val="0"/>
              <w:autoSpaceDE w:val="0"/>
              <w:autoSpaceDN w:val="0"/>
              <w:bidi w:val="0"/>
              <w:snapToGrid/>
              <w:spacing w:line="500" w:lineRule="exact"/>
              <w:ind w:firstLine="480" w:firstLineChars="200"/>
              <w:jc w:val="left"/>
              <w:textAlignment w:val="auto"/>
              <w:rPr>
                <w:rFonts w:hint="eastAsia"/>
                <w:color w:val="auto"/>
                <w:highlight w:val="none"/>
                <w:lang w:val="en-US"/>
              </w:rPr>
            </w:pPr>
            <w:r>
              <w:rPr>
                <w:rFonts w:hint="eastAsia"/>
                <w:color w:val="auto"/>
                <w:highlight w:val="none"/>
                <w:lang w:val="en-US"/>
              </w:rPr>
              <w:t>因此，建设单位应加强抑尘装置的管理维护，定期检修，确保环保装置正常运行，在环保装置停止运行或出现故障时，相应工序应立即停止生产，待环保设备正常运行后方可恢复生产。</w:t>
            </w:r>
          </w:p>
          <w:p>
            <w:pPr>
              <w:pStyle w:val="2"/>
              <w:keepNext w:val="0"/>
              <w:keepLines w:val="0"/>
              <w:pageBreakBefore w:val="0"/>
              <w:widowControl w:val="0"/>
              <w:kinsoku/>
              <w:wordWrap/>
              <w:overflowPunct/>
              <w:topLinePunct w:val="0"/>
              <w:autoSpaceDE w:val="0"/>
              <w:autoSpaceDN w:val="0"/>
              <w:bidi w:val="0"/>
              <w:snapToGrid/>
              <w:spacing w:line="500" w:lineRule="exact"/>
              <w:ind w:firstLine="482" w:firstLineChars="200"/>
              <w:textAlignment w:val="auto"/>
              <w:rPr>
                <w:b/>
                <w:bCs/>
                <w:color w:val="auto"/>
              </w:rPr>
            </w:pPr>
            <w:r>
              <w:rPr>
                <w:rFonts w:hint="eastAsia"/>
                <w:b/>
                <w:bCs/>
                <w:color w:val="auto"/>
              </w:rPr>
              <w:t>1.</w:t>
            </w:r>
            <w:r>
              <w:rPr>
                <w:rFonts w:hint="eastAsia"/>
                <w:b/>
                <w:bCs/>
                <w:color w:val="auto"/>
                <w:lang w:val="en-US" w:eastAsia="zh-CN"/>
              </w:rPr>
              <w:t>7</w:t>
            </w:r>
            <w:r>
              <w:rPr>
                <w:rFonts w:hint="eastAsia"/>
                <w:b/>
                <w:bCs/>
                <w:color w:val="auto"/>
              </w:rPr>
              <w:t>污染物排放口基本情况</w:t>
            </w:r>
          </w:p>
          <w:p>
            <w:pPr>
              <w:pStyle w:val="2"/>
              <w:keepNext w:val="0"/>
              <w:keepLines w:val="0"/>
              <w:pageBreakBefore w:val="0"/>
              <w:widowControl w:val="0"/>
              <w:kinsoku/>
              <w:wordWrap/>
              <w:overflowPunct/>
              <w:topLinePunct w:val="0"/>
              <w:autoSpaceDE w:val="0"/>
              <w:autoSpaceDN w:val="0"/>
              <w:bidi w:val="0"/>
              <w:snapToGrid/>
              <w:spacing w:line="500" w:lineRule="exact"/>
              <w:ind w:firstLine="480" w:firstLineChars="200"/>
              <w:textAlignment w:val="auto"/>
              <w:rPr>
                <w:color w:val="auto"/>
              </w:rPr>
            </w:pPr>
            <w:r>
              <w:rPr>
                <w:rFonts w:hint="eastAsia"/>
                <w:color w:val="auto"/>
              </w:rPr>
              <w:t>本项目排放口基本情况见下表。</w:t>
            </w:r>
          </w:p>
          <w:p>
            <w:pPr>
              <w:keepNext w:val="0"/>
              <w:keepLines w:val="0"/>
              <w:pageBreakBefore w:val="0"/>
              <w:widowControl w:val="0"/>
              <w:kinsoku/>
              <w:wordWrap/>
              <w:overflowPunct/>
              <w:topLinePunct w:val="0"/>
              <w:autoSpaceDE/>
              <w:autoSpaceDN/>
              <w:bidi w:val="0"/>
              <w:snapToGrid/>
              <w:spacing w:line="500" w:lineRule="exact"/>
              <w:textAlignment w:val="auto"/>
              <w:rPr>
                <w:rFonts w:cs="Times New Roman"/>
                <w:b/>
                <w:bCs/>
                <w:color w:val="auto"/>
                <w:sz w:val="21"/>
                <w:szCs w:val="21"/>
              </w:rPr>
            </w:pPr>
            <w:r>
              <w:rPr>
                <w:rFonts w:cs="Times New Roman"/>
                <w:b/>
                <w:bCs/>
                <w:color w:val="auto"/>
                <w:sz w:val="21"/>
                <w:szCs w:val="21"/>
              </w:rPr>
              <w:t>表</w:t>
            </w:r>
            <w:r>
              <w:rPr>
                <w:rFonts w:hint="eastAsia" w:cs="Times New Roman"/>
                <w:b/>
                <w:bCs/>
                <w:color w:val="auto"/>
                <w:sz w:val="21"/>
                <w:szCs w:val="21"/>
                <w:lang w:val="en-US"/>
              </w:rPr>
              <w:t>4-</w:t>
            </w:r>
            <w:r>
              <w:rPr>
                <w:rFonts w:hint="eastAsia" w:cs="Times New Roman"/>
                <w:b/>
                <w:bCs/>
                <w:color w:val="auto"/>
                <w:sz w:val="21"/>
                <w:szCs w:val="21"/>
                <w:lang w:val="en-US" w:eastAsia="zh-CN"/>
              </w:rPr>
              <w:t>9</w:t>
            </w:r>
            <w:r>
              <w:rPr>
                <w:rFonts w:hint="eastAsia" w:cs="Times New Roman"/>
                <w:b/>
                <w:bCs/>
                <w:color w:val="auto"/>
                <w:sz w:val="21"/>
                <w:szCs w:val="21"/>
              </w:rPr>
              <w:t>本项目</w:t>
            </w:r>
            <w:r>
              <w:rPr>
                <w:rFonts w:hint="eastAsia" w:cs="Times New Roman"/>
                <w:b/>
                <w:bCs/>
                <w:color w:val="auto"/>
                <w:sz w:val="21"/>
                <w:szCs w:val="21"/>
                <w:lang w:eastAsia="zh-CN"/>
              </w:rPr>
              <w:t>有</w:t>
            </w:r>
            <w:r>
              <w:rPr>
                <w:rFonts w:hint="eastAsia" w:cs="Times New Roman"/>
                <w:b/>
                <w:bCs/>
                <w:color w:val="auto"/>
                <w:sz w:val="21"/>
                <w:szCs w:val="21"/>
              </w:rPr>
              <w:t>组织排放口基本情况</w:t>
            </w:r>
          </w:p>
          <w:tbl>
            <w:tblPr>
              <w:tblStyle w:val="16"/>
              <w:tblW w:w="48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767"/>
              <w:gridCol w:w="1100"/>
              <w:gridCol w:w="700"/>
              <w:gridCol w:w="740"/>
              <w:gridCol w:w="700"/>
              <w:gridCol w:w="773"/>
              <w:gridCol w:w="827"/>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32" w:type="pct"/>
                  <w:vMerge w:val="restart"/>
                  <w:vAlign w:val="center"/>
                </w:tcPr>
                <w:p>
                  <w:pPr>
                    <w:pStyle w:val="2"/>
                    <w:jc w:val="center"/>
                    <w:rPr>
                      <w:b/>
                      <w:bCs/>
                      <w:color w:val="auto"/>
                      <w:sz w:val="21"/>
                      <w:szCs w:val="21"/>
                    </w:rPr>
                  </w:pPr>
                  <w:r>
                    <w:rPr>
                      <w:rFonts w:hint="eastAsia"/>
                      <w:b/>
                      <w:bCs/>
                      <w:color w:val="auto"/>
                      <w:sz w:val="21"/>
                      <w:szCs w:val="21"/>
                    </w:rPr>
                    <w:t>排放源</w:t>
                  </w:r>
                </w:p>
              </w:tc>
              <w:tc>
                <w:tcPr>
                  <w:tcW w:w="1190" w:type="pct"/>
                  <w:gridSpan w:val="2"/>
                  <w:vAlign w:val="center"/>
                </w:tcPr>
                <w:p>
                  <w:pPr>
                    <w:pStyle w:val="2"/>
                    <w:jc w:val="center"/>
                    <w:rPr>
                      <w:b/>
                      <w:bCs/>
                      <w:color w:val="auto"/>
                      <w:sz w:val="21"/>
                      <w:szCs w:val="21"/>
                    </w:rPr>
                  </w:pPr>
                  <w:r>
                    <w:rPr>
                      <w:rFonts w:hint="eastAsia"/>
                      <w:b/>
                      <w:bCs/>
                      <w:color w:val="auto"/>
                      <w:sz w:val="21"/>
                      <w:szCs w:val="21"/>
                      <w:lang w:eastAsia="zh-CN"/>
                    </w:rPr>
                    <w:t>排气筒底部中心坐标</w:t>
                  </w:r>
                </w:p>
              </w:tc>
              <w:tc>
                <w:tcPr>
                  <w:tcW w:w="446" w:type="pct"/>
                  <w:vMerge w:val="restart"/>
                  <w:vAlign w:val="center"/>
                </w:tcPr>
                <w:p>
                  <w:pPr>
                    <w:pStyle w:val="2"/>
                    <w:numPr>
                      <w:ilvl w:val="0"/>
                      <w:numId w:val="0"/>
                    </w:numPr>
                    <w:ind w:left="0" w:leftChars="0" w:firstLine="0" w:firstLineChars="0"/>
                    <w:jc w:val="center"/>
                    <w:rPr>
                      <w:b/>
                      <w:bCs/>
                      <w:color w:val="auto"/>
                      <w:sz w:val="21"/>
                      <w:szCs w:val="21"/>
                    </w:rPr>
                  </w:pPr>
                  <w:r>
                    <w:rPr>
                      <w:rFonts w:hint="default" w:ascii="Times New Roman" w:hAnsi="Times New Roman" w:cs="Times New Roman"/>
                      <w:b/>
                      <w:bCs/>
                      <w:color w:val="auto"/>
                      <w:sz w:val="21"/>
                      <w:szCs w:val="21"/>
                      <w:highlight w:val="none"/>
                      <w:vertAlign w:val="baseline"/>
                      <w:lang w:val="en-US" w:eastAsia="zh-CN"/>
                    </w:rPr>
                    <w:t>排气筒高度/m</w:t>
                  </w:r>
                </w:p>
              </w:tc>
              <w:tc>
                <w:tcPr>
                  <w:tcW w:w="471" w:type="pct"/>
                  <w:vMerge w:val="restart"/>
                  <w:vAlign w:val="center"/>
                </w:tcPr>
                <w:p>
                  <w:pPr>
                    <w:pStyle w:val="2"/>
                    <w:numPr>
                      <w:ilvl w:val="0"/>
                      <w:numId w:val="0"/>
                    </w:numPr>
                    <w:ind w:left="0" w:leftChars="0" w:firstLine="0" w:firstLineChars="0"/>
                    <w:jc w:val="center"/>
                    <w:rPr>
                      <w:b/>
                      <w:bCs/>
                      <w:color w:val="auto"/>
                      <w:sz w:val="21"/>
                      <w:szCs w:val="21"/>
                    </w:rPr>
                  </w:pPr>
                  <w:r>
                    <w:rPr>
                      <w:rFonts w:hint="default" w:ascii="Times New Roman" w:hAnsi="Times New Roman" w:cs="Times New Roman"/>
                      <w:b/>
                      <w:bCs/>
                      <w:color w:val="auto"/>
                      <w:sz w:val="21"/>
                      <w:szCs w:val="21"/>
                      <w:highlight w:val="none"/>
                      <w:vertAlign w:val="baseline"/>
                      <w:lang w:val="en-US" w:eastAsia="zh-CN"/>
                    </w:rPr>
                    <w:t>出口内径/m</w:t>
                  </w:r>
                </w:p>
              </w:tc>
              <w:tc>
                <w:tcPr>
                  <w:tcW w:w="446" w:type="pct"/>
                  <w:vMerge w:val="restart"/>
                  <w:vAlign w:val="center"/>
                </w:tcPr>
                <w:p>
                  <w:pPr>
                    <w:pStyle w:val="2"/>
                    <w:jc w:val="center"/>
                    <w:rPr>
                      <w:b/>
                      <w:bCs/>
                      <w:color w:val="auto"/>
                      <w:sz w:val="21"/>
                      <w:szCs w:val="21"/>
                    </w:rPr>
                  </w:pPr>
                  <w:r>
                    <w:rPr>
                      <w:rFonts w:hint="eastAsia"/>
                      <w:b/>
                      <w:bCs/>
                      <w:color w:val="auto"/>
                      <w:sz w:val="21"/>
                      <w:szCs w:val="21"/>
                    </w:rPr>
                    <w:t>类型</w:t>
                  </w:r>
                </w:p>
              </w:tc>
              <w:tc>
                <w:tcPr>
                  <w:tcW w:w="492" w:type="pct"/>
                  <w:vMerge w:val="restart"/>
                  <w:vAlign w:val="center"/>
                </w:tcPr>
                <w:p>
                  <w:pPr>
                    <w:pStyle w:val="2"/>
                    <w:jc w:val="center"/>
                    <w:rPr>
                      <w:rFonts w:hint="eastAsia" w:eastAsia="宋体"/>
                      <w:b/>
                      <w:bCs/>
                      <w:color w:val="auto"/>
                      <w:sz w:val="21"/>
                      <w:szCs w:val="21"/>
                      <w:lang w:eastAsia="zh-CN"/>
                    </w:rPr>
                  </w:pPr>
                  <w:r>
                    <w:rPr>
                      <w:rFonts w:hint="eastAsia"/>
                      <w:b/>
                      <w:bCs/>
                      <w:color w:val="auto"/>
                      <w:sz w:val="21"/>
                      <w:szCs w:val="21"/>
                      <w:lang w:eastAsia="zh-CN"/>
                    </w:rPr>
                    <w:t>烟气温度℃</w:t>
                  </w:r>
                </w:p>
              </w:tc>
              <w:tc>
                <w:tcPr>
                  <w:tcW w:w="527" w:type="pct"/>
                  <w:vMerge w:val="restart"/>
                  <w:vAlign w:val="center"/>
                </w:tcPr>
                <w:p>
                  <w:pPr>
                    <w:pStyle w:val="2"/>
                    <w:jc w:val="center"/>
                    <w:rPr>
                      <w:b/>
                      <w:bCs/>
                      <w:color w:val="auto"/>
                      <w:sz w:val="21"/>
                      <w:szCs w:val="21"/>
                    </w:rPr>
                  </w:pPr>
                  <w:r>
                    <w:rPr>
                      <w:rFonts w:hint="eastAsia"/>
                      <w:b/>
                      <w:bCs/>
                      <w:color w:val="auto"/>
                      <w:sz w:val="21"/>
                      <w:szCs w:val="21"/>
                    </w:rPr>
                    <w:t>排放污染物</w:t>
                  </w:r>
                </w:p>
              </w:tc>
              <w:tc>
                <w:tcPr>
                  <w:tcW w:w="892" w:type="pct"/>
                  <w:vMerge w:val="restart"/>
                  <w:vAlign w:val="center"/>
                </w:tcPr>
                <w:p>
                  <w:pPr>
                    <w:pStyle w:val="2"/>
                    <w:jc w:val="center"/>
                    <w:rPr>
                      <w:b/>
                      <w:bCs/>
                      <w:color w:val="auto"/>
                      <w:sz w:val="21"/>
                      <w:szCs w:val="21"/>
                    </w:rPr>
                  </w:pPr>
                  <w:r>
                    <w:rPr>
                      <w:rFonts w:hint="eastAsia"/>
                      <w:b/>
                      <w:bCs/>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32" w:type="pct"/>
                  <w:vMerge w:val="continue"/>
                  <w:vAlign w:val="center"/>
                </w:tcPr>
                <w:p>
                  <w:pPr>
                    <w:pStyle w:val="2"/>
                    <w:jc w:val="center"/>
                    <w:rPr>
                      <w:color w:val="auto"/>
                    </w:rPr>
                  </w:pPr>
                </w:p>
              </w:tc>
              <w:tc>
                <w:tcPr>
                  <w:tcW w:w="488" w:type="pct"/>
                  <w:vAlign w:val="center"/>
                </w:tcPr>
                <w:p>
                  <w:pPr>
                    <w:pStyle w:val="2"/>
                    <w:jc w:val="center"/>
                    <w:rPr>
                      <w:b/>
                      <w:bCs/>
                      <w:color w:val="auto"/>
                      <w:sz w:val="21"/>
                      <w:szCs w:val="21"/>
                    </w:rPr>
                  </w:pPr>
                  <w:r>
                    <w:rPr>
                      <w:rFonts w:hint="eastAsia"/>
                      <w:b/>
                      <w:bCs/>
                      <w:color w:val="auto"/>
                      <w:sz w:val="21"/>
                      <w:szCs w:val="21"/>
                    </w:rPr>
                    <w:t>东经</w:t>
                  </w:r>
                </w:p>
              </w:tc>
              <w:tc>
                <w:tcPr>
                  <w:tcW w:w="701" w:type="pct"/>
                  <w:vAlign w:val="center"/>
                </w:tcPr>
                <w:p>
                  <w:pPr>
                    <w:pStyle w:val="2"/>
                    <w:jc w:val="center"/>
                    <w:rPr>
                      <w:b/>
                      <w:bCs/>
                      <w:color w:val="auto"/>
                      <w:sz w:val="21"/>
                      <w:szCs w:val="21"/>
                    </w:rPr>
                  </w:pPr>
                  <w:r>
                    <w:rPr>
                      <w:rFonts w:hint="eastAsia"/>
                      <w:b/>
                      <w:bCs/>
                      <w:color w:val="auto"/>
                      <w:sz w:val="21"/>
                      <w:szCs w:val="21"/>
                    </w:rPr>
                    <w:t>北纬</w:t>
                  </w:r>
                </w:p>
              </w:tc>
              <w:tc>
                <w:tcPr>
                  <w:tcW w:w="446" w:type="pct"/>
                  <w:vMerge w:val="continue"/>
                  <w:vAlign w:val="center"/>
                </w:tcPr>
                <w:p>
                  <w:pPr>
                    <w:pStyle w:val="2"/>
                    <w:jc w:val="center"/>
                    <w:rPr>
                      <w:b/>
                      <w:bCs/>
                      <w:color w:val="auto"/>
                      <w:sz w:val="21"/>
                      <w:szCs w:val="21"/>
                    </w:rPr>
                  </w:pPr>
                </w:p>
              </w:tc>
              <w:tc>
                <w:tcPr>
                  <w:tcW w:w="471" w:type="pct"/>
                  <w:vMerge w:val="continue"/>
                  <w:vAlign w:val="center"/>
                </w:tcPr>
                <w:p>
                  <w:pPr>
                    <w:pStyle w:val="2"/>
                    <w:jc w:val="center"/>
                    <w:rPr>
                      <w:b/>
                      <w:bCs/>
                      <w:color w:val="auto"/>
                      <w:sz w:val="21"/>
                      <w:szCs w:val="21"/>
                    </w:rPr>
                  </w:pPr>
                </w:p>
              </w:tc>
              <w:tc>
                <w:tcPr>
                  <w:tcW w:w="446" w:type="pct"/>
                  <w:vMerge w:val="continue"/>
                  <w:vAlign w:val="center"/>
                </w:tcPr>
                <w:p>
                  <w:pPr>
                    <w:pStyle w:val="2"/>
                    <w:jc w:val="center"/>
                    <w:rPr>
                      <w:b/>
                      <w:bCs/>
                      <w:color w:val="auto"/>
                      <w:sz w:val="21"/>
                      <w:szCs w:val="21"/>
                    </w:rPr>
                  </w:pPr>
                </w:p>
              </w:tc>
              <w:tc>
                <w:tcPr>
                  <w:tcW w:w="492" w:type="pct"/>
                  <w:vMerge w:val="continue"/>
                  <w:vAlign w:val="center"/>
                </w:tcPr>
                <w:p>
                  <w:pPr>
                    <w:pStyle w:val="2"/>
                    <w:jc w:val="center"/>
                    <w:rPr>
                      <w:b/>
                      <w:bCs/>
                      <w:color w:val="auto"/>
                      <w:sz w:val="21"/>
                      <w:szCs w:val="21"/>
                    </w:rPr>
                  </w:pPr>
                </w:p>
              </w:tc>
              <w:tc>
                <w:tcPr>
                  <w:tcW w:w="527" w:type="pct"/>
                  <w:vMerge w:val="continue"/>
                  <w:vAlign w:val="center"/>
                </w:tcPr>
                <w:p>
                  <w:pPr>
                    <w:pStyle w:val="2"/>
                    <w:jc w:val="center"/>
                    <w:rPr>
                      <w:b/>
                      <w:bCs/>
                      <w:color w:val="auto"/>
                      <w:sz w:val="21"/>
                      <w:szCs w:val="21"/>
                    </w:rPr>
                  </w:pPr>
                </w:p>
              </w:tc>
              <w:tc>
                <w:tcPr>
                  <w:tcW w:w="892" w:type="pct"/>
                  <w:vMerge w:val="continue"/>
                  <w:vAlign w:val="center"/>
                </w:tcPr>
                <w:p>
                  <w:pPr>
                    <w:pStyle w:val="2"/>
                    <w:jc w:val="center"/>
                    <w:rPr>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32" w:type="pct"/>
                  <w:vAlign w:val="center"/>
                </w:tcPr>
                <w:p>
                  <w:pPr>
                    <w:pStyle w:val="2"/>
                    <w:jc w:val="center"/>
                    <w:rPr>
                      <w:color w:val="auto"/>
                      <w:sz w:val="21"/>
                      <w:szCs w:val="21"/>
                    </w:rPr>
                  </w:pPr>
                  <w:r>
                    <w:rPr>
                      <w:rFonts w:hint="eastAsia"/>
                      <w:color w:val="auto"/>
                      <w:sz w:val="21"/>
                      <w:szCs w:val="21"/>
                      <w:highlight w:val="none"/>
                      <w:lang w:val="en-US" w:eastAsia="zh-CN"/>
                    </w:rPr>
                    <w:t>DA001</w:t>
                  </w:r>
                </w:p>
              </w:tc>
              <w:tc>
                <w:tcPr>
                  <w:tcW w:w="488" w:type="pct"/>
                  <w:vAlign w:val="center"/>
                </w:tcPr>
                <w:p>
                  <w:pPr>
                    <w:tabs>
                      <w:tab w:val="left" w:pos="0"/>
                    </w:tabs>
                    <w:adjustRightInd w:val="0"/>
                    <w:spacing w:line="240" w:lineRule="auto"/>
                    <w:rPr>
                      <w:rFonts w:hint="default" w:eastAsia="宋体" w:cs="Times New Roman"/>
                      <w:snapToGrid w:val="0"/>
                      <w:color w:val="auto"/>
                      <w:sz w:val="21"/>
                      <w:szCs w:val="21"/>
                      <w:lang w:val="en-US" w:eastAsia="zh-CN"/>
                    </w:rPr>
                  </w:pPr>
                  <w:r>
                    <w:rPr>
                      <w:rFonts w:hint="eastAsia" w:cs="Times New Roman"/>
                      <w:snapToGrid w:val="0"/>
                      <w:color w:val="auto"/>
                      <w:sz w:val="21"/>
                      <w:szCs w:val="21"/>
                      <w:lang w:val="en-US" w:eastAsia="zh-CN"/>
                    </w:rPr>
                    <w:t>117.403405220</w:t>
                  </w:r>
                </w:p>
              </w:tc>
              <w:tc>
                <w:tcPr>
                  <w:tcW w:w="701" w:type="pct"/>
                  <w:vAlign w:val="center"/>
                </w:tcPr>
                <w:p>
                  <w:pPr>
                    <w:tabs>
                      <w:tab w:val="left" w:pos="0"/>
                    </w:tabs>
                    <w:adjustRightInd w:val="0"/>
                    <w:spacing w:line="240" w:lineRule="auto"/>
                    <w:rPr>
                      <w:rFonts w:hint="default" w:eastAsia="宋体" w:cs="Times New Roman"/>
                      <w:snapToGrid w:val="0"/>
                      <w:color w:val="auto"/>
                      <w:sz w:val="21"/>
                      <w:szCs w:val="21"/>
                      <w:lang w:val="en-US" w:eastAsia="zh-CN"/>
                    </w:rPr>
                  </w:pPr>
                  <w:r>
                    <w:rPr>
                      <w:rFonts w:hint="eastAsia" w:cs="Times New Roman"/>
                      <w:snapToGrid w:val="0"/>
                      <w:color w:val="auto"/>
                      <w:sz w:val="21"/>
                      <w:szCs w:val="21"/>
                      <w:lang w:val="en-US" w:eastAsia="zh-CN"/>
                    </w:rPr>
                    <w:t>40.343818315</w:t>
                  </w:r>
                </w:p>
              </w:tc>
              <w:tc>
                <w:tcPr>
                  <w:tcW w:w="446" w:type="pct"/>
                  <w:vAlign w:val="center"/>
                </w:tcPr>
                <w:p>
                  <w:pPr>
                    <w:pStyle w:val="2"/>
                    <w:jc w:val="center"/>
                    <w:rPr>
                      <w:rFonts w:hint="default" w:eastAsia="宋体"/>
                      <w:color w:val="auto"/>
                      <w:sz w:val="21"/>
                      <w:szCs w:val="21"/>
                      <w:lang w:val="en-US" w:eastAsia="zh-CN"/>
                    </w:rPr>
                  </w:pPr>
                  <w:r>
                    <w:rPr>
                      <w:rFonts w:hint="eastAsia"/>
                      <w:color w:val="auto"/>
                      <w:sz w:val="21"/>
                      <w:szCs w:val="21"/>
                      <w:lang w:val="en-US" w:eastAsia="zh-CN"/>
                    </w:rPr>
                    <w:t>20</w:t>
                  </w:r>
                </w:p>
              </w:tc>
              <w:tc>
                <w:tcPr>
                  <w:tcW w:w="471" w:type="pct"/>
                  <w:vAlign w:val="center"/>
                </w:tcPr>
                <w:p>
                  <w:pPr>
                    <w:pStyle w:val="2"/>
                    <w:jc w:val="center"/>
                    <w:rPr>
                      <w:rFonts w:hint="default" w:eastAsia="宋体"/>
                      <w:color w:val="auto"/>
                      <w:sz w:val="21"/>
                      <w:szCs w:val="21"/>
                      <w:lang w:val="en-US" w:eastAsia="zh-CN"/>
                    </w:rPr>
                  </w:pPr>
                  <w:r>
                    <w:rPr>
                      <w:rFonts w:hint="eastAsia"/>
                      <w:color w:val="auto"/>
                      <w:sz w:val="21"/>
                      <w:szCs w:val="21"/>
                      <w:lang w:val="en-US" w:eastAsia="zh-CN"/>
                    </w:rPr>
                    <w:t>0.3</w:t>
                  </w:r>
                </w:p>
              </w:tc>
              <w:tc>
                <w:tcPr>
                  <w:tcW w:w="446" w:type="pct"/>
                  <w:vAlign w:val="center"/>
                </w:tcPr>
                <w:p>
                  <w:pPr>
                    <w:pStyle w:val="2"/>
                    <w:jc w:val="center"/>
                    <w:rPr>
                      <w:color w:val="auto"/>
                      <w:sz w:val="21"/>
                      <w:szCs w:val="21"/>
                    </w:rPr>
                  </w:pPr>
                  <w:r>
                    <w:rPr>
                      <w:rFonts w:hint="eastAsia"/>
                      <w:color w:val="auto"/>
                      <w:sz w:val="21"/>
                      <w:szCs w:val="21"/>
                      <w:lang w:eastAsia="zh-CN"/>
                    </w:rPr>
                    <w:t>有</w:t>
                  </w:r>
                  <w:r>
                    <w:rPr>
                      <w:rFonts w:hint="eastAsia"/>
                      <w:color w:val="auto"/>
                      <w:sz w:val="21"/>
                      <w:szCs w:val="21"/>
                    </w:rPr>
                    <w:t>组织</w:t>
                  </w:r>
                </w:p>
              </w:tc>
              <w:tc>
                <w:tcPr>
                  <w:tcW w:w="492" w:type="pct"/>
                  <w:vAlign w:val="center"/>
                </w:tcPr>
                <w:p>
                  <w:pPr>
                    <w:pStyle w:val="2"/>
                    <w:jc w:val="center"/>
                    <w:rPr>
                      <w:rFonts w:hint="eastAsia"/>
                      <w:color w:val="auto"/>
                      <w:sz w:val="21"/>
                      <w:szCs w:val="21"/>
                      <w:lang w:eastAsia="zh-CN"/>
                    </w:rPr>
                  </w:pPr>
                  <w:r>
                    <w:rPr>
                      <w:rFonts w:hint="eastAsia"/>
                      <w:color w:val="auto"/>
                      <w:sz w:val="21"/>
                      <w:szCs w:val="21"/>
                      <w:lang w:eastAsia="zh-CN"/>
                    </w:rPr>
                    <w:t>常温</w:t>
                  </w:r>
                </w:p>
              </w:tc>
              <w:tc>
                <w:tcPr>
                  <w:tcW w:w="527" w:type="pct"/>
                  <w:vAlign w:val="center"/>
                </w:tcPr>
                <w:p>
                  <w:pPr>
                    <w:pStyle w:val="2"/>
                    <w:jc w:val="center"/>
                    <w:rPr>
                      <w:color w:val="auto"/>
                      <w:sz w:val="21"/>
                      <w:szCs w:val="21"/>
                    </w:rPr>
                  </w:pPr>
                  <w:r>
                    <w:rPr>
                      <w:rFonts w:hint="eastAsia"/>
                      <w:color w:val="auto"/>
                      <w:sz w:val="21"/>
                      <w:szCs w:val="21"/>
                    </w:rPr>
                    <w:t>颗粒物</w:t>
                  </w:r>
                </w:p>
              </w:tc>
              <w:tc>
                <w:tcPr>
                  <w:tcW w:w="892" w:type="pct"/>
                  <w:vAlign w:val="center"/>
                </w:tcPr>
                <w:p>
                  <w:pPr>
                    <w:pStyle w:val="2"/>
                    <w:jc w:val="center"/>
                    <w:rPr>
                      <w:color w:val="auto"/>
                      <w:sz w:val="21"/>
                      <w:szCs w:val="21"/>
                    </w:rPr>
                  </w:pPr>
                  <w:r>
                    <w:rPr>
                      <w:rFonts w:hint="eastAsia"/>
                      <w:color w:val="auto"/>
                      <w:sz w:val="21"/>
                      <w:szCs w:val="21"/>
                    </w:rPr>
                    <w:t>《大气污染物综合排放标准》（GB16297-1996）</w:t>
                  </w:r>
                </w:p>
              </w:tc>
            </w:tr>
          </w:tbl>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eastAsia="宋体" w:cs="Times New Roman"/>
                <w:b/>
                <w:bCs/>
                <w:color w:val="auto"/>
                <w:sz w:val="21"/>
                <w:szCs w:val="21"/>
                <w:lang w:val="en-US" w:eastAsia="zh-CN"/>
              </w:rPr>
              <w:t>4-</w:t>
            </w:r>
            <w:r>
              <w:rPr>
                <w:rFonts w:hint="eastAsia" w:cs="Times New Roman"/>
                <w:b/>
                <w:bCs/>
                <w:color w:val="auto"/>
                <w:sz w:val="21"/>
                <w:szCs w:val="21"/>
                <w:lang w:val="en-US" w:eastAsia="zh-CN"/>
              </w:rPr>
              <w:t>10</w:t>
            </w:r>
            <w:r>
              <w:rPr>
                <w:rFonts w:hint="eastAsia" w:ascii="Times New Roman" w:hAnsi="Times New Roman" w:cs="Times New Roman"/>
                <w:b/>
                <w:bCs/>
                <w:color w:val="auto"/>
                <w:sz w:val="21"/>
                <w:szCs w:val="21"/>
                <w:lang w:eastAsia="zh-CN"/>
              </w:rPr>
              <w:t>本项目无组织排放口基本情况</w:t>
            </w:r>
          </w:p>
          <w:tbl>
            <w:tblPr>
              <w:tblStyle w:val="16"/>
              <w:tblW w:w="47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71"/>
              <w:gridCol w:w="911"/>
              <w:gridCol w:w="882"/>
              <w:gridCol w:w="905"/>
              <w:gridCol w:w="831"/>
              <w:gridCol w:w="968"/>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07" w:type="pct"/>
                  <w:vMerge w:val="restart"/>
                  <w:vAlign w:val="center"/>
                </w:tcPr>
                <w:p>
                  <w:pPr>
                    <w:pStyle w:val="2"/>
                    <w:numPr>
                      <w:ilvl w:val="0"/>
                      <w:numId w:val="0"/>
                    </w:numPr>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排放源</w:t>
                  </w:r>
                </w:p>
              </w:tc>
              <w:tc>
                <w:tcPr>
                  <w:tcW w:w="1209" w:type="pct"/>
                  <w:gridSpan w:val="2"/>
                  <w:vAlign w:val="center"/>
                </w:tcPr>
                <w:p>
                  <w:pPr>
                    <w:pStyle w:val="2"/>
                    <w:numPr>
                      <w:ilvl w:val="0"/>
                      <w:numId w:val="0"/>
                    </w:numPr>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面源起点坐标</w:t>
                  </w:r>
                </w:p>
              </w:tc>
              <w:tc>
                <w:tcPr>
                  <w:tcW w:w="566" w:type="pct"/>
                  <w:vMerge w:val="restart"/>
                  <w:vAlign w:val="center"/>
                </w:tcPr>
                <w:p>
                  <w:pPr>
                    <w:pStyle w:val="2"/>
                    <w:numPr>
                      <w:ilvl w:val="0"/>
                      <w:numId w:val="0"/>
                    </w:numPr>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面源长度/m</w:t>
                  </w:r>
                </w:p>
              </w:tc>
              <w:tc>
                <w:tcPr>
                  <w:tcW w:w="581" w:type="pct"/>
                  <w:vMerge w:val="restart"/>
                  <w:vAlign w:val="center"/>
                </w:tcPr>
                <w:p>
                  <w:pPr>
                    <w:pStyle w:val="2"/>
                    <w:numPr>
                      <w:ilvl w:val="0"/>
                      <w:numId w:val="0"/>
                    </w:numPr>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面源宽度/m</w:t>
                  </w:r>
                </w:p>
              </w:tc>
              <w:tc>
                <w:tcPr>
                  <w:tcW w:w="533" w:type="pct"/>
                  <w:vMerge w:val="restart"/>
                  <w:vAlign w:val="center"/>
                </w:tcPr>
                <w:p>
                  <w:pPr>
                    <w:pStyle w:val="2"/>
                    <w:numPr>
                      <w:ilvl w:val="0"/>
                      <w:numId w:val="0"/>
                    </w:numPr>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类型</w:t>
                  </w:r>
                </w:p>
              </w:tc>
              <w:tc>
                <w:tcPr>
                  <w:tcW w:w="622" w:type="pct"/>
                  <w:vMerge w:val="restart"/>
                  <w:vAlign w:val="center"/>
                </w:tcPr>
                <w:p>
                  <w:pPr>
                    <w:pStyle w:val="2"/>
                    <w:numPr>
                      <w:ilvl w:val="0"/>
                      <w:numId w:val="0"/>
                    </w:numPr>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排放污染物</w:t>
                  </w:r>
                </w:p>
              </w:tc>
              <w:tc>
                <w:tcPr>
                  <w:tcW w:w="878" w:type="pct"/>
                  <w:vMerge w:val="restart"/>
                  <w:vAlign w:val="center"/>
                </w:tcPr>
                <w:p>
                  <w:pPr>
                    <w:pStyle w:val="2"/>
                    <w:numPr>
                      <w:ilvl w:val="0"/>
                      <w:numId w:val="0"/>
                    </w:numPr>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07" w:type="pct"/>
                  <w:vMerge w:val="continue"/>
                  <w:vAlign w:val="center"/>
                </w:tcPr>
                <w:p>
                  <w:pPr>
                    <w:pStyle w:val="2"/>
                    <w:jc w:val="center"/>
                    <w:rPr>
                      <w:rFonts w:hint="default" w:ascii="Times New Roman" w:hAnsi="Times New Roman" w:cs="Times New Roman"/>
                      <w:color w:val="auto"/>
                      <w:sz w:val="21"/>
                      <w:szCs w:val="21"/>
                      <w:highlight w:val="none"/>
                    </w:rPr>
                  </w:pPr>
                </w:p>
              </w:tc>
              <w:tc>
                <w:tcPr>
                  <w:tcW w:w="623" w:type="pct"/>
                  <w:vAlign w:val="center"/>
                </w:tcPr>
                <w:p>
                  <w:pPr>
                    <w:pStyle w:val="2"/>
                    <w:numPr>
                      <w:ilvl w:val="0"/>
                      <w:numId w:val="0"/>
                    </w:numPr>
                    <w:ind w:left="0" w:leftChars="0" w:firstLine="0" w:firstLineChars="0"/>
                    <w:jc w:val="center"/>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cs="Times New Roman"/>
                      <w:b/>
                      <w:bCs/>
                      <w:color w:val="auto"/>
                      <w:sz w:val="21"/>
                      <w:szCs w:val="21"/>
                      <w:highlight w:val="none"/>
                      <w:vertAlign w:val="baseline"/>
                      <w:lang w:val="en-US" w:eastAsia="zh-CN"/>
                    </w:rPr>
                    <w:t>东经</w:t>
                  </w:r>
                </w:p>
              </w:tc>
              <w:tc>
                <w:tcPr>
                  <w:tcW w:w="585" w:type="pct"/>
                  <w:vAlign w:val="center"/>
                </w:tcPr>
                <w:p>
                  <w:pPr>
                    <w:pStyle w:val="2"/>
                    <w:numPr>
                      <w:ilvl w:val="0"/>
                      <w:numId w:val="0"/>
                    </w:numPr>
                    <w:ind w:left="0" w:leftChars="0" w:firstLine="0" w:firstLineChars="0"/>
                    <w:jc w:val="center"/>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cs="Times New Roman"/>
                      <w:b/>
                      <w:bCs/>
                      <w:color w:val="auto"/>
                      <w:sz w:val="21"/>
                      <w:szCs w:val="21"/>
                      <w:highlight w:val="none"/>
                      <w:vertAlign w:val="baseline"/>
                      <w:lang w:val="en-US" w:eastAsia="zh-CN"/>
                    </w:rPr>
                    <w:t>北纬</w:t>
                  </w:r>
                </w:p>
              </w:tc>
              <w:tc>
                <w:tcPr>
                  <w:tcW w:w="566" w:type="pct"/>
                  <w:vMerge w:val="continue"/>
                  <w:vAlign w:val="center"/>
                </w:tcPr>
                <w:p>
                  <w:pPr>
                    <w:pStyle w:val="2"/>
                    <w:jc w:val="center"/>
                    <w:rPr>
                      <w:rFonts w:hint="default" w:ascii="Times New Roman" w:hAnsi="Times New Roman" w:cs="Times New Roman"/>
                      <w:b/>
                      <w:bCs/>
                      <w:color w:val="auto"/>
                      <w:sz w:val="21"/>
                      <w:szCs w:val="21"/>
                      <w:highlight w:val="none"/>
                      <w:vertAlign w:val="baseline"/>
                      <w:lang w:val="en-US" w:eastAsia="zh-CN"/>
                    </w:rPr>
                  </w:pPr>
                </w:p>
              </w:tc>
              <w:tc>
                <w:tcPr>
                  <w:tcW w:w="581" w:type="pct"/>
                  <w:vMerge w:val="continue"/>
                  <w:vAlign w:val="center"/>
                </w:tcPr>
                <w:p>
                  <w:pPr>
                    <w:pStyle w:val="2"/>
                    <w:jc w:val="center"/>
                    <w:rPr>
                      <w:rFonts w:hint="default" w:ascii="Times New Roman" w:hAnsi="Times New Roman" w:cs="Times New Roman"/>
                      <w:b/>
                      <w:bCs/>
                      <w:color w:val="auto"/>
                      <w:sz w:val="21"/>
                      <w:szCs w:val="21"/>
                      <w:highlight w:val="none"/>
                      <w:vertAlign w:val="baseline"/>
                      <w:lang w:val="en-US" w:eastAsia="zh-CN"/>
                    </w:rPr>
                  </w:pPr>
                </w:p>
              </w:tc>
              <w:tc>
                <w:tcPr>
                  <w:tcW w:w="533" w:type="pct"/>
                  <w:vMerge w:val="continue"/>
                  <w:vAlign w:val="center"/>
                </w:tcPr>
                <w:p>
                  <w:pPr>
                    <w:pStyle w:val="2"/>
                    <w:jc w:val="center"/>
                    <w:rPr>
                      <w:rFonts w:hint="default" w:ascii="Times New Roman" w:hAnsi="Times New Roman" w:cs="Times New Roman"/>
                      <w:b/>
                      <w:bCs/>
                      <w:color w:val="auto"/>
                      <w:sz w:val="21"/>
                      <w:szCs w:val="21"/>
                      <w:highlight w:val="none"/>
                      <w:vertAlign w:val="baseline"/>
                      <w:lang w:val="en-US" w:eastAsia="zh-CN"/>
                    </w:rPr>
                  </w:pPr>
                </w:p>
              </w:tc>
              <w:tc>
                <w:tcPr>
                  <w:tcW w:w="622" w:type="pct"/>
                  <w:vMerge w:val="continue"/>
                  <w:vAlign w:val="center"/>
                </w:tcPr>
                <w:p>
                  <w:pPr>
                    <w:pStyle w:val="2"/>
                    <w:jc w:val="center"/>
                    <w:rPr>
                      <w:rFonts w:hint="default" w:ascii="Times New Roman" w:hAnsi="Times New Roman" w:cs="Times New Roman"/>
                      <w:b/>
                      <w:bCs/>
                      <w:color w:val="auto"/>
                      <w:sz w:val="21"/>
                      <w:szCs w:val="21"/>
                      <w:highlight w:val="none"/>
                      <w:vertAlign w:val="baseline"/>
                      <w:lang w:val="en-US" w:eastAsia="zh-CN"/>
                    </w:rPr>
                  </w:pPr>
                </w:p>
              </w:tc>
              <w:tc>
                <w:tcPr>
                  <w:tcW w:w="878" w:type="pct"/>
                  <w:vMerge w:val="continue"/>
                  <w:vAlign w:val="center"/>
                </w:tcPr>
                <w:p>
                  <w:pPr>
                    <w:pStyle w:val="2"/>
                    <w:jc w:val="center"/>
                    <w:rPr>
                      <w:rFonts w:hint="default" w:ascii="Times New Roman" w:hAnsi="Times New Roman" w:cs="Times New Roman"/>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07" w:type="pct"/>
                  <w:vAlign w:val="center"/>
                </w:tcPr>
                <w:p>
                  <w:pPr>
                    <w:bidi w:val="0"/>
                    <w:spacing w:line="240" w:lineRule="auto"/>
                    <w:jc w:val="center"/>
                    <w:rPr>
                      <w:rFonts w:hint="default" w:ascii="Times New Roman" w:hAnsi="Times New Roman" w:cs="Times New Roman"/>
                      <w:color w:val="auto"/>
                      <w:szCs w:val="21"/>
                      <w:highlight w:val="none"/>
                      <w:vertAlign w:val="baseline"/>
                      <w:lang w:val="en-US" w:eastAsia="zh-CN"/>
                    </w:rPr>
                  </w:pPr>
                  <w:r>
                    <w:rPr>
                      <w:rFonts w:hint="eastAsia"/>
                      <w:color w:val="auto"/>
                      <w:sz w:val="21"/>
                      <w:szCs w:val="21"/>
                      <w:lang w:val="en-US" w:eastAsia="zh-CN"/>
                    </w:rPr>
                    <w:t>原料库</w:t>
                  </w:r>
                </w:p>
              </w:tc>
              <w:tc>
                <w:tcPr>
                  <w:tcW w:w="623" w:type="pct"/>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117.403123266</w:t>
                  </w:r>
                </w:p>
              </w:tc>
              <w:tc>
                <w:tcPr>
                  <w:tcW w:w="585" w:type="pct"/>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40.343669614</w:t>
                  </w:r>
                </w:p>
              </w:tc>
              <w:tc>
                <w:tcPr>
                  <w:tcW w:w="566" w:type="pct"/>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snapToGrid w:val="0"/>
                      <w:color w:val="auto"/>
                      <w:sz w:val="21"/>
                      <w:szCs w:val="21"/>
                      <w:highlight w:val="none"/>
                      <w:lang w:val="en-US" w:eastAsia="zh-CN"/>
                    </w:rPr>
                    <w:t>50</w:t>
                  </w:r>
                </w:p>
              </w:tc>
              <w:tc>
                <w:tcPr>
                  <w:tcW w:w="581" w:type="pct"/>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w:t>
                  </w:r>
                </w:p>
              </w:tc>
              <w:tc>
                <w:tcPr>
                  <w:tcW w:w="533" w:type="pct"/>
                  <w:vMerge w:val="restart"/>
                  <w:vAlign w:val="center"/>
                </w:tcPr>
                <w:p>
                  <w:pPr>
                    <w:pStyle w:val="2"/>
                    <w:numPr>
                      <w:ilvl w:val="0"/>
                      <w:numId w:val="0"/>
                    </w:numPr>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无组织</w:t>
                  </w:r>
                </w:p>
              </w:tc>
              <w:tc>
                <w:tcPr>
                  <w:tcW w:w="622" w:type="pct"/>
                  <w:vMerge w:val="restart"/>
                  <w:vAlign w:val="center"/>
                </w:tcPr>
                <w:p>
                  <w:pPr>
                    <w:pStyle w:val="2"/>
                    <w:numPr>
                      <w:ilvl w:val="0"/>
                      <w:numId w:val="0"/>
                    </w:numPr>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颗粒物</w:t>
                  </w:r>
                </w:p>
              </w:tc>
              <w:tc>
                <w:tcPr>
                  <w:tcW w:w="878" w:type="pct"/>
                  <w:vMerge w:val="restart"/>
                  <w:vAlign w:val="center"/>
                </w:tcPr>
                <w:p>
                  <w:pPr>
                    <w:pStyle w:val="2"/>
                    <w:numPr>
                      <w:ilvl w:val="0"/>
                      <w:numId w:val="0"/>
                    </w:numPr>
                    <w:jc w:val="center"/>
                    <w:rPr>
                      <w:rFonts w:hint="default" w:ascii="Times New Roman" w:hAnsi="Times New Roman" w:cs="Times New Roman"/>
                      <w:color w:val="auto"/>
                      <w:sz w:val="21"/>
                      <w:szCs w:val="21"/>
                      <w:highlight w:val="none"/>
                      <w:vertAlign w:val="baseline"/>
                      <w:lang w:val="en-US" w:eastAsia="zh-CN"/>
                    </w:rPr>
                  </w:pPr>
                  <w:r>
                    <w:rPr>
                      <w:rFonts w:hint="eastAsia"/>
                      <w:color w:val="auto"/>
                      <w:sz w:val="21"/>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07" w:type="pct"/>
                  <w:vAlign w:val="center"/>
                </w:tcPr>
                <w:p>
                  <w:pPr>
                    <w:bidi w:val="0"/>
                    <w:spacing w:line="240" w:lineRule="auto"/>
                    <w:jc w:val="center"/>
                    <w:rPr>
                      <w:rFonts w:hint="eastAsia"/>
                      <w:color w:val="auto"/>
                      <w:sz w:val="21"/>
                      <w:szCs w:val="21"/>
                      <w:lang w:val="en-US" w:eastAsia="zh-CN"/>
                    </w:rPr>
                  </w:pPr>
                  <w:r>
                    <w:rPr>
                      <w:rFonts w:hint="eastAsia"/>
                      <w:color w:val="auto"/>
                      <w:sz w:val="21"/>
                      <w:szCs w:val="21"/>
                      <w:lang w:val="en-US" w:eastAsia="zh-CN"/>
                    </w:rPr>
                    <w:t>成品库存车间</w:t>
                  </w:r>
                </w:p>
              </w:tc>
              <w:tc>
                <w:tcPr>
                  <w:tcW w:w="623" w:type="pct"/>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微软雅黑" w:cs="Times New Roman"/>
                      <w:snapToGrid w:val="0"/>
                      <w:color w:val="auto"/>
                      <w:sz w:val="21"/>
                      <w:szCs w:val="21"/>
                      <w:highlight w:val="none"/>
                      <w:lang w:val="en-US" w:eastAsia="zh-CN" w:bidi="zh-CN"/>
                    </w:rPr>
                  </w:pPr>
                  <w:r>
                    <w:rPr>
                      <w:rFonts w:hint="eastAsia" w:eastAsia="微软雅黑" w:cs="Times New Roman"/>
                      <w:snapToGrid w:val="0"/>
                      <w:color w:val="auto"/>
                      <w:sz w:val="21"/>
                      <w:szCs w:val="21"/>
                      <w:highlight w:val="none"/>
                      <w:lang w:val="en-US" w:eastAsia="zh-CN"/>
                    </w:rPr>
                    <w:t>117.403534545</w:t>
                  </w:r>
                </w:p>
              </w:tc>
              <w:tc>
                <w:tcPr>
                  <w:tcW w:w="585" w:type="pct"/>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sz w:val="21"/>
                      <w:szCs w:val="21"/>
                      <w:highlight w:val="none"/>
                      <w:lang w:val="en-US" w:eastAsia="zh-CN" w:bidi="zh-CN"/>
                    </w:rPr>
                  </w:pPr>
                  <w:r>
                    <w:rPr>
                      <w:rFonts w:hint="eastAsia" w:eastAsia="宋体" w:cs="Times New Roman"/>
                      <w:snapToGrid w:val="0"/>
                      <w:color w:val="auto"/>
                      <w:sz w:val="21"/>
                      <w:szCs w:val="21"/>
                      <w:highlight w:val="none"/>
                      <w:lang w:val="en-US" w:eastAsia="zh-CN"/>
                    </w:rPr>
                    <w:t>40.343814464</w:t>
                  </w:r>
                </w:p>
              </w:tc>
              <w:tc>
                <w:tcPr>
                  <w:tcW w:w="566" w:type="pct"/>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60</w:t>
                  </w:r>
                </w:p>
              </w:tc>
              <w:tc>
                <w:tcPr>
                  <w:tcW w:w="581" w:type="pct"/>
                  <w:vAlign w:val="center"/>
                </w:tcPr>
                <w:p>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w:t>
                  </w:r>
                </w:p>
              </w:tc>
              <w:tc>
                <w:tcPr>
                  <w:tcW w:w="533" w:type="pct"/>
                  <w:vMerge w:val="continue"/>
                  <w:vAlign w:val="center"/>
                </w:tcPr>
                <w:p>
                  <w:pPr>
                    <w:pStyle w:val="2"/>
                    <w:numPr>
                      <w:ilvl w:val="0"/>
                      <w:numId w:val="0"/>
                    </w:numPr>
                    <w:jc w:val="center"/>
                    <w:rPr>
                      <w:rFonts w:hint="default" w:ascii="Times New Roman" w:hAnsi="Times New Roman" w:cs="Times New Roman"/>
                      <w:color w:val="auto"/>
                      <w:sz w:val="21"/>
                      <w:szCs w:val="21"/>
                      <w:highlight w:val="none"/>
                      <w:vertAlign w:val="baseline"/>
                      <w:lang w:val="en-US" w:eastAsia="zh-CN"/>
                    </w:rPr>
                  </w:pPr>
                </w:p>
              </w:tc>
              <w:tc>
                <w:tcPr>
                  <w:tcW w:w="622" w:type="pct"/>
                  <w:vMerge w:val="continue"/>
                  <w:vAlign w:val="center"/>
                </w:tcPr>
                <w:p>
                  <w:pPr>
                    <w:pStyle w:val="2"/>
                    <w:numPr>
                      <w:ilvl w:val="0"/>
                      <w:numId w:val="0"/>
                    </w:numPr>
                    <w:jc w:val="center"/>
                    <w:rPr>
                      <w:rFonts w:hint="default" w:ascii="Times New Roman" w:hAnsi="Times New Roman" w:cs="Times New Roman"/>
                      <w:color w:val="auto"/>
                      <w:sz w:val="21"/>
                      <w:szCs w:val="21"/>
                      <w:highlight w:val="none"/>
                      <w:vertAlign w:val="baseline"/>
                      <w:lang w:val="en-US" w:eastAsia="zh-CN"/>
                    </w:rPr>
                  </w:pPr>
                </w:p>
              </w:tc>
              <w:tc>
                <w:tcPr>
                  <w:tcW w:w="878" w:type="pct"/>
                  <w:vMerge w:val="continue"/>
                  <w:vAlign w:val="center"/>
                </w:tcPr>
                <w:p>
                  <w:pPr>
                    <w:pStyle w:val="2"/>
                    <w:numPr>
                      <w:ilvl w:val="0"/>
                      <w:numId w:val="0"/>
                    </w:numPr>
                    <w:jc w:val="center"/>
                    <w:rPr>
                      <w:rFonts w:hint="eastAsia"/>
                      <w:color w:val="auto"/>
                      <w:sz w:val="21"/>
                      <w:szCs w:val="21"/>
                    </w:rPr>
                  </w:pPr>
                </w:p>
              </w:tc>
            </w:tr>
          </w:tbl>
          <w:p>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eastAsia"/>
                <w:b/>
                <w:bCs/>
                <w:color w:val="auto"/>
                <w:lang w:val="en-US" w:eastAsia="zh-CN"/>
              </w:rPr>
            </w:pPr>
            <w:r>
              <w:rPr>
                <w:rFonts w:hint="eastAsia"/>
                <w:b/>
                <w:bCs/>
                <w:color w:val="auto"/>
                <w:lang w:val="en-US" w:eastAsia="zh-CN"/>
              </w:rPr>
              <w:t>1.8废气监测要求</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color w:val="auto"/>
                <w:lang w:val="en-US" w:eastAsia="zh-CN"/>
              </w:rPr>
            </w:pPr>
            <w:r>
              <w:rPr>
                <w:rFonts w:hint="eastAsia"/>
                <w:color w:val="auto"/>
                <w:lang w:val="en-US" w:eastAsia="zh-CN"/>
              </w:rPr>
              <w:t>全厂废气监测要求如下。</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eastAsia="宋体" w:cs="Times New Roman"/>
                <w:b/>
                <w:bCs/>
                <w:color w:val="auto"/>
                <w:sz w:val="21"/>
                <w:szCs w:val="21"/>
                <w:lang w:val="en-US" w:eastAsia="zh-CN"/>
              </w:rPr>
              <w:t>4-</w:t>
            </w:r>
            <w:r>
              <w:rPr>
                <w:rFonts w:hint="eastAsia" w:cs="Times New Roman"/>
                <w:b/>
                <w:bCs/>
                <w:color w:val="auto"/>
                <w:sz w:val="21"/>
                <w:szCs w:val="21"/>
                <w:lang w:val="en-US" w:eastAsia="zh-CN"/>
              </w:rPr>
              <w:t>11</w:t>
            </w:r>
            <w:r>
              <w:rPr>
                <w:rFonts w:hint="eastAsia" w:cs="Times New Roman"/>
                <w:b/>
                <w:bCs/>
                <w:color w:val="auto"/>
                <w:sz w:val="21"/>
                <w:szCs w:val="21"/>
                <w:lang w:eastAsia="zh-CN"/>
              </w:rPr>
              <w:t>运营期废气监测计划一览表</w:t>
            </w:r>
          </w:p>
          <w:tbl>
            <w:tblPr>
              <w:tblStyle w:val="16"/>
              <w:tblW w:w="48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8"/>
              <w:gridCol w:w="2946"/>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525" w:type="pct"/>
                  <w:vAlign w:val="center"/>
                </w:tcPr>
                <w:p>
                  <w:pPr>
                    <w:pStyle w:val="2"/>
                    <w:numPr>
                      <w:ilvl w:val="0"/>
                      <w:numId w:val="0"/>
                    </w:numPr>
                    <w:jc w:val="center"/>
                    <w:rPr>
                      <w:rFonts w:hint="eastAsia"/>
                      <w:b/>
                      <w:bCs/>
                      <w:color w:val="auto"/>
                      <w:sz w:val="21"/>
                      <w:szCs w:val="21"/>
                      <w:vertAlign w:val="baseline"/>
                      <w:lang w:val="en-US" w:eastAsia="zh-CN"/>
                    </w:rPr>
                  </w:pPr>
                  <w:r>
                    <w:rPr>
                      <w:rFonts w:hint="eastAsia"/>
                      <w:b/>
                      <w:bCs/>
                      <w:color w:val="auto"/>
                      <w:sz w:val="21"/>
                      <w:szCs w:val="21"/>
                      <w:vertAlign w:val="baseline"/>
                      <w:lang w:val="en-US" w:eastAsia="zh-CN"/>
                    </w:rPr>
                    <w:t>监测点位</w:t>
                  </w:r>
                </w:p>
              </w:tc>
              <w:tc>
                <w:tcPr>
                  <w:tcW w:w="1874" w:type="pct"/>
                  <w:vAlign w:val="center"/>
                </w:tcPr>
                <w:p>
                  <w:pPr>
                    <w:pStyle w:val="2"/>
                    <w:numPr>
                      <w:ilvl w:val="0"/>
                      <w:numId w:val="0"/>
                    </w:numPr>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监测因子</w:t>
                  </w:r>
                </w:p>
              </w:tc>
              <w:tc>
                <w:tcPr>
                  <w:tcW w:w="1599" w:type="pct"/>
                  <w:vAlign w:val="center"/>
                </w:tcPr>
                <w:p>
                  <w:pPr>
                    <w:pStyle w:val="2"/>
                    <w:numPr>
                      <w:ilvl w:val="0"/>
                      <w:numId w:val="0"/>
                    </w:numPr>
                    <w:jc w:val="center"/>
                    <w:rPr>
                      <w:rFonts w:hint="eastAsia"/>
                      <w:b/>
                      <w:bCs/>
                      <w:color w:val="auto"/>
                      <w:sz w:val="21"/>
                      <w:szCs w:val="21"/>
                      <w:vertAlign w:val="baseline"/>
                      <w:lang w:val="en-US" w:eastAsia="zh-CN"/>
                    </w:rPr>
                  </w:pPr>
                  <w:r>
                    <w:rPr>
                      <w:rFonts w:hint="eastAsia"/>
                      <w:b/>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5" w:type="pct"/>
                  <w:vAlign w:val="center"/>
                </w:tcPr>
                <w:p>
                  <w:pPr>
                    <w:pStyle w:val="2"/>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DA001</w:t>
                  </w:r>
                </w:p>
              </w:tc>
              <w:tc>
                <w:tcPr>
                  <w:tcW w:w="1874" w:type="pct"/>
                  <w:vAlign w:val="center"/>
                </w:tcPr>
                <w:p>
                  <w:pPr>
                    <w:pStyle w:val="2"/>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颗粒物</w:t>
                  </w:r>
                </w:p>
              </w:tc>
              <w:tc>
                <w:tcPr>
                  <w:tcW w:w="1599" w:type="pct"/>
                  <w:vAlign w:val="center"/>
                </w:tcPr>
                <w:p>
                  <w:pPr>
                    <w:pStyle w:val="2"/>
                    <w:numPr>
                      <w:ilvl w:val="0"/>
                      <w:numId w:val="0"/>
                    </w:numPr>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525" w:type="pct"/>
                  <w:vAlign w:val="center"/>
                </w:tcPr>
                <w:p>
                  <w:pPr>
                    <w:pStyle w:val="2"/>
                    <w:numPr>
                      <w:ilvl w:val="0"/>
                      <w:numId w:val="0"/>
                    </w:numPr>
                    <w:jc w:val="center"/>
                    <w:rPr>
                      <w:rFonts w:hint="default"/>
                      <w:b w:val="0"/>
                      <w:bCs w:val="0"/>
                      <w:color w:val="auto"/>
                      <w:sz w:val="21"/>
                      <w:szCs w:val="21"/>
                      <w:vertAlign w:val="baseline"/>
                      <w:lang w:val="en-US" w:eastAsia="zh-CN"/>
                    </w:rPr>
                  </w:pPr>
                  <w:r>
                    <w:rPr>
                      <w:rFonts w:hint="eastAsia"/>
                      <w:color w:val="auto"/>
                      <w:sz w:val="21"/>
                      <w:szCs w:val="21"/>
                    </w:rPr>
                    <w:t>项目四周厂界外1m</w:t>
                  </w:r>
                </w:p>
              </w:tc>
              <w:tc>
                <w:tcPr>
                  <w:tcW w:w="1874" w:type="pct"/>
                  <w:vAlign w:val="center"/>
                </w:tcPr>
                <w:p>
                  <w:pPr>
                    <w:pStyle w:val="2"/>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颗粒物</w:t>
                  </w:r>
                </w:p>
              </w:tc>
              <w:tc>
                <w:tcPr>
                  <w:tcW w:w="1599" w:type="pct"/>
                  <w:vAlign w:val="center"/>
                </w:tcPr>
                <w:p>
                  <w:pPr>
                    <w:pStyle w:val="2"/>
                    <w:numPr>
                      <w:ilvl w:val="0"/>
                      <w:numId w:val="0"/>
                    </w:numPr>
                    <w:jc w:val="center"/>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1年/次</w:t>
                  </w:r>
                </w:p>
              </w:tc>
            </w:tr>
          </w:tbl>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b/>
                <w:bCs/>
                <w:lang w:val="en-US"/>
              </w:rPr>
            </w:pPr>
            <w:r>
              <w:rPr>
                <w:rFonts w:hint="eastAsia"/>
                <w:b/>
                <w:bCs/>
                <w:lang w:val="en-US" w:eastAsia="zh-CN"/>
              </w:rPr>
              <w:t>2</w:t>
            </w:r>
            <w:r>
              <w:rPr>
                <w:rFonts w:hint="eastAsia"/>
                <w:b/>
                <w:bCs/>
                <w:lang w:val="en-US"/>
              </w:rPr>
              <w:t>、废水</w:t>
            </w:r>
          </w:p>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lang w:val="en-US"/>
              </w:rPr>
            </w:pPr>
            <w:r>
              <w:rPr>
                <w:rFonts w:hint="eastAsia"/>
                <w:b/>
                <w:bCs/>
                <w:lang w:val="en-US" w:eastAsia="zh-CN"/>
              </w:rPr>
              <w:t>2</w:t>
            </w:r>
            <w:r>
              <w:rPr>
                <w:rFonts w:hint="eastAsia"/>
                <w:b/>
                <w:bCs/>
                <w:lang w:val="en-US"/>
              </w:rPr>
              <w:t>.1废水排放源强</w:t>
            </w:r>
            <w:r>
              <w:rPr>
                <w:rFonts w:hint="eastAsia"/>
                <w:lang w:val="en-US"/>
              </w:rPr>
              <w:tab/>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color w:val="auto"/>
                <w:lang w:val="en-US"/>
              </w:rPr>
            </w:pPr>
            <w:r>
              <w:rPr>
                <w:rFonts w:hint="eastAsia"/>
                <w:color w:val="auto"/>
                <w:lang w:val="en-US"/>
              </w:rPr>
              <w:t>本项目废水主要为</w:t>
            </w:r>
            <w:r>
              <w:rPr>
                <w:rFonts w:hint="eastAsia"/>
                <w:color w:val="auto"/>
                <w:highlight w:val="none"/>
                <w:lang w:eastAsia="zh-CN"/>
              </w:rPr>
              <w:t>车轮清洗废水</w:t>
            </w:r>
            <w:r>
              <w:rPr>
                <w:rFonts w:hint="eastAsia"/>
                <w:color w:val="auto"/>
                <w:lang w:val="en-US" w:eastAsia="zh-CN"/>
              </w:rPr>
              <w:t>及生活用水</w:t>
            </w:r>
            <w:r>
              <w:rPr>
                <w:rFonts w:hint="eastAsia"/>
                <w:color w:val="auto"/>
                <w:lang w:val="en-US"/>
              </w:rPr>
              <w:t>。</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rFonts w:hint="eastAsia" w:ascii="Times New Roman" w:hAnsi="Times New Roman" w:eastAsia="宋体" w:cs="Times New Roman"/>
                <w:color w:val="auto"/>
                <w:kern w:val="0"/>
                <w:sz w:val="24"/>
                <w:szCs w:val="24"/>
                <w:highlight w:val="none"/>
                <w:lang w:eastAsia="zh-CN"/>
              </w:rPr>
            </w:pPr>
            <w:r>
              <w:rPr>
                <w:rFonts w:hint="eastAsia"/>
                <w:color w:val="auto"/>
                <w:highlight w:val="none"/>
                <w:lang w:eastAsia="zh-CN"/>
              </w:rPr>
              <w:t>车轮清洗废水产生量为</w:t>
            </w:r>
            <w:r>
              <w:rPr>
                <w:rFonts w:hint="eastAsia"/>
                <w:color w:val="auto"/>
                <w:highlight w:val="none"/>
                <w:lang w:val="en-US" w:eastAsia="zh-CN"/>
              </w:rPr>
              <w:t>1.8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olor w:val="auto"/>
                <w:highlight w:val="none"/>
                <w:lang w:val="en-US" w:eastAsia="zh-CN"/>
              </w:rPr>
              <w:t>270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rFonts w:hint="eastAsia" w:cs="Times New Roman"/>
                <w:color w:val="auto"/>
                <w:sz w:val="24"/>
                <w:szCs w:val="24"/>
                <w:highlight w:val="none"/>
                <w:lang w:val="en-US" w:eastAsia="zh-CN"/>
              </w:rPr>
              <w:t>）</w:t>
            </w:r>
            <w:r>
              <w:rPr>
                <w:rFonts w:hint="eastAsia"/>
                <w:color w:val="auto"/>
                <w:highlight w:val="none"/>
                <w:lang w:eastAsia="zh-CN"/>
              </w:rPr>
              <w:t>，</w:t>
            </w:r>
            <w:r>
              <w:rPr>
                <w:color w:val="auto"/>
                <w:kern w:val="24"/>
                <w:highlight w:val="none"/>
              </w:rPr>
              <w:t>主要污染因子为SS，</w:t>
            </w:r>
            <w:r>
              <w:rPr>
                <w:rFonts w:hint="eastAsia"/>
                <w:color w:val="auto"/>
                <w:highlight w:val="none"/>
                <w:lang w:eastAsia="zh-CN"/>
              </w:rPr>
              <w:t>排入</w:t>
            </w:r>
            <w:r>
              <w:rPr>
                <w:rFonts w:hint="eastAsia"/>
                <w:color w:val="auto"/>
                <w:highlight w:val="none"/>
                <w:lang w:val="en-US" w:eastAsia="zh-CN"/>
              </w:rPr>
              <w:t>配套</w:t>
            </w:r>
            <w:r>
              <w:rPr>
                <w:rFonts w:hint="eastAsia"/>
                <w:color w:val="auto"/>
                <w:highlight w:val="none"/>
                <w:lang w:eastAsia="zh-CN"/>
              </w:rPr>
              <w:t>沉淀池，沉淀后回用于车辆清洗。</w:t>
            </w:r>
            <w:r>
              <w:rPr>
                <w:rFonts w:hint="eastAsia" w:cs="Times New Roman"/>
                <w:color w:val="auto"/>
                <w:sz w:val="24"/>
                <w:szCs w:val="24"/>
                <w:highlight w:val="none"/>
                <w:lang w:eastAsia="zh-CN"/>
              </w:rPr>
              <w:t>原料库、成品库存车间</w:t>
            </w:r>
            <w:r>
              <w:rPr>
                <w:rFonts w:hint="default" w:ascii="Times New Roman" w:hAnsi="Times New Roman" w:eastAsia="宋体" w:cs="Times New Roman"/>
                <w:color w:val="auto"/>
                <w:sz w:val="24"/>
                <w:szCs w:val="24"/>
                <w:highlight w:val="none"/>
                <w:lang w:eastAsia="zh-CN"/>
              </w:rPr>
              <w:t>降尘用水</w:t>
            </w:r>
            <w:r>
              <w:rPr>
                <w:rFonts w:hint="default" w:ascii="Times New Roman" w:hAnsi="Times New Roman" w:eastAsia="宋体" w:cs="Times New Roman"/>
                <w:color w:val="auto"/>
                <w:kern w:val="24"/>
                <w:sz w:val="24"/>
                <w:szCs w:val="24"/>
                <w:highlight w:val="none"/>
                <w:lang w:eastAsia="zh-CN"/>
              </w:rPr>
              <w:t>及厂区洒水抑尘用水</w:t>
            </w:r>
            <w:r>
              <w:rPr>
                <w:rFonts w:hint="default" w:ascii="Times New Roman" w:hAnsi="Times New Roman" w:eastAsia="宋体" w:cs="Times New Roman"/>
                <w:color w:val="auto"/>
                <w:kern w:val="24"/>
                <w:sz w:val="24"/>
                <w:szCs w:val="24"/>
                <w:highlight w:val="none"/>
              </w:rPr>
              <w:t>均被消耗，无废水排放。</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24"/>
                <w:sz w:val="24"/>
                <w:szCs w:val="24"/>
                <w:highlight w:val="none"/>
                <w:lang w:eastAsia="zh-CN"/>
              </w:rPr>
            </w:pPr>
            <w:r>
              <w:rPr>
                <w:rFonts w:hint="default" w:ascii="Times New Roman" w:hAnsi="Times New Roman" w:eastAsia="宋体" w:cs="Times New Roman"/>
                <w:color w:val="auto"/>
                <w:kern w:val="24"/>
                <w:sz w:val="24"/>
                <w:szCs w:val="24"/>
                <w:highlight w:val="none"/>
              </w:rPr>
              <w:t>生活污水安排放系数0.8计算，排放量为</w:t>
            </w:r>
            <w:r>
              <w:rPr>
                <w:rFonts w:hint="eastAsia" w:cs="Times New Roman"/>
                <w:color w:val="auto"/>
                <w:kern w:val="24"/>
                <w:sz w:val="24"/>
                <w:szCs w:val="24"/>
                <w:highlight w:val="none"/>
                <w:lang w:val="en-US" w:eastAsia="zh-CN"/>
              </w:rPr>
              <w:t>0.48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s="Times New Roman"/>
                <w:color w:val="auto"/>
                <w:kern w:val="24"/>
                <w:sz w:val="24"/>
                <w:szCs w:val="24"/>
                <w:highlight w:val="none"/>
                <w:lang w:val="en-US" w:eastAsia="zh-CN"/>
              </w:rPr>
              <w:t>72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kern w:val="24"/>
                <w:sz w:val="24"/>
                <w:szCs w:val="24"/>
                <w:highlight w:val="none"/>
              </w:rPr>
              <w: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kern w:val="24"/>
                <w:sz w:val="24"/>
                <w:szCs w:val="24"/>
                <w:highlight w:val="none"/>
              </w:rPr>
              <w:t>，</w:t>
            </w:r>
            <w:r>
              <w:rPr>
                <w:rFonts w:hint="eastAsia" w:cs="Times New Roman"/>
                <w:color w:val="auto"/>
                <w:sz w:val="24"/>
                <w:lang w:eastAsia="zh-CN"/>
              </w:rPr>
              <w:t>产生量较小，水质简单，排入化粪池，定期清掏，不外排</w:t>
            </w:r>
            <w:r>
              <w:rPr>
                <w:rFonts w:hint="default"/>
                <w:color w:val="auto"/>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b/>
                <w:bCs/>
                <w:color w:val="auto"/>
                <w:highlight w:val="none"/>
                <w:lang w:val="en-US" w:eastAsia="zh-CN"/>
              </w:rPr>
            </w:pPr>
            <w:r>
              <w:rPr>
                <w:rFonts w:hint="eastAsia"/>
                <w:b/>
                <w:bCs/>
                <w:color w:val="auto"/>
                <w:highlight w:val="none"/>
                <w:lang w:val="en-US" w:eastAsia="zh-CN"/>
              </w:rPr>
              <w:t>2.2处理措施可行性分析</w:t>
            </w:r>
          </w:p>
          <w:p>
            <w:pPr>
              <w:keepNext w:val="0"/>
              <w:keepLines w:val="0"/>
              <w:pageBreakBefore w:val="0"/>
              <w:widowControl w:val="0"/>
              <w:numPr>
                <w:ilvl w:val="0"/>
                <w:numId w:val="2"/>
              </w:numPr>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eastAsia="宋体"/>
                <w:color w:val="auto"/>
                <w:sz w:val="24"/>
                <w:szCs w:val="24"/>
                <w:highlight w:val="none"/>
                <w:lang w:val="en-US" w:eastAsia="zh-CN"/>
              </w:rPr>
            </w:pPr>
            <w:r>
              <w:rPr>
                <w:rFonts w:hint="eastAsia"/>
                <w:color w:val="auto"/>
                <w:sz w:val="24"/>
                <w:szCs w:val="24"/>
                <w:highlight w:val="none"/>
                <w:lang w:eastAsia="zh-CN"/>
              </w:rPr>
              <w:t>生产废水</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default" w:eastAsia="宋体"/>
                <w:color w:val="auto"/>
                <w:sz w:val="24"/>
                <w:szCs w:val="24"/>
                <w:highlight w:val="none"/>
                <w:lang w:val="en-US" w:eastAsia="zh-CN"/>
              </w:rPr>
            </w:pPr>
            <w:r>
              <w:rPr>
                <w:rFonts w:hint="eastAsia" w:cs="Times New Roman"/>
                <w:color w:val="auto"/>
                <w:sz w:val="24"/>
                <w:szCs w:val="24"/>
                <w:lang w:val="en-US" w:eastAsia="zh-CN"/>
              </w:rPr>
              <w:t>车辆清洗废水排入洗轮机配套沉淀池内，沉淀后回用于车辆清洗，</w:t>
            </w:r>
            <w:r>
              <w:rPr>
                <w:rFonts w:hint="eastAsia" w:cs="Times New Roman"/>
                <w:color w:val="auto"/>
                <w:sz w:val="24"/>
                <w:szCs w:val="24"/>
                <w:lang w:eastAsia="zh-CN"/>
              </w:rPr>
              <w:t>且沉淀池为混凝土一次性浇筑，防渗系数</w:t>
            </w:r>
            <w:r>
              <w:rPr>
                <w:color w:val="auto"/>
                <w:spacing w:val="-4"/>
                <w:szCs w:val="24"/>
              </w:rPr>
              <w:t>≤</w:t>
            </w:r>
            <w:r>
              <w:rPr>
                <w:rFonts w:hint="eastAsia" w:cs="Times New Roman"/>
                <w:color w:val="auto"/>
                <w:sz w:val="24"/>
                <w:szCs w:val="24"/>
                <w:lang w:val="en-US" w:eastAsia="zh-CN"/>
              </w:rPr>
              <w:t>10</w:t>
            </w:r>
            <w:r>
              <w:rPr>
                <w:rFonts w:hint="eastAsia" w:cs="Times New Roman"/>
                <w:color w:val="auto"/>
                <w:sz w:val="24"/>
                <w:szCs w:val="24"/>
                <w:vertAlign w:val="superscript"/>
                <w:lang w:val="en-US" w:eastAsia="zh-CN"/>
              </w:rPr>
              <w:t>-7</w:t>
            </w:r>
            <w:r>
              <w:rPr>
                <w:rFonts w:hint="eastAsia" w:cs="Times New Roman"/>
                <w:color w:val="auto"/>
                <w:sz w:val="24"/>
                <w:szCs w:val="24"/>
                <w:lang w:val="en-US" w:eastAsia="zh-CN"/>
              </w:rPr>
              <w:t>cm/s。不会对地下水、土壤环境产生影响。</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eastAsia" w:cs="Times New Roman"/>
                <w:color w:val="auto"/>
                <w:sz w:val="24"/>
                <w:szCs w:val="24"/>
                <w:lang w:val="en-US" w:eastAsia="zh-CN"/>
              </w:rPr>
            </w:pPr>
            <w:r>
              <w:rPr>
                <w:rFonts w:hint="eastAsia" w:cs="Times New Roman"/>
                <w:color w:val="auto"/>
                <w:sz w:val="24"/>
                <w:szCs w:val="24"/>
                <w:lang w:val="en-US" w:eastAsia="zh-CN"/>
              </w:rPr>
              <w:t>故本项目沉淀池设置合理。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default" w:cs="Times New Roman"/>
                <w:color w:val="auto"/>
                <w:sz w:val="24"/>
                <w:szCs w:val="24"/>
                <w:lang w:val="en-US" w:eastAsia="zh-CN"/>
              </w:rPr>
            </w:pPr>
            <w:r>
              <w:rPr>
                <w:rFonts w:hint="eastAsia" w:cs="Times New Roman"/>
                <w:color w:val="auto"/>
                <w:sz w:val="24"/>
                <w:szCs w:val="24"/>
                <w:lang w:val="en-US" w:eastAsia="zh-CN"/>
              </w:rPr>
              <w:t>（2）生活废水</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eastAsia" w:cs="Times New Roman"/>
                <w:color w:val="auto"/>
                <w:sz w:val="24"/>
                <w:lang w:eastAsia="zh-CN"/>
              </w:rPr>
            </w:pPr>
            <w:r>
              <w:rPr>
                <w:rFonts w:hint="eastAsia" w:cs="Times New Roman"/>
                <w:color w:val="auto"/>
                <w:sz w:val="24"/>
                <w:szCs w:val="24"/>
                <w:lang w:val="en-US" w:eastAsia="zh-CN"/>
              </w:rPr>
              <w:t>本项目设置办公区、宿舍，场内建有</w:t>
            </w:r>
            <w:r>
              <w:rPr>
                <w:rFonts w:hint="eastAsia" w:cs="Times New Roman"/>
                <w:color w:val="auto"/>
                <w:sz w:val="24"/>
                <w:szCs w:val="24"/>
                <w:highlight w:val="none"/>
                <w:lang w:val="en-US" w:eastAsia="zh-CN"/>
              </w:rPr>
              <w:t>化粪池，容积为18m</w:t>
            </w:r>
            <w:r>
              <w:rPr>
                <w:rFonts w:hint="eastAsia" w:cs="Times New Roman"/>
                <w:color w:val="auto"/>
                <w:sz w:val="24"/>
                <w:szCs w:val="24"/>
                <w:highlight w:val="none"/>
                <w:vertAlign w:val="superscript"/>
                <w:lang w:val="en-US" w:eastAsia="zh-CN"/>
              </w:rPr>
              <w:t>3</w:t>
            </w:r>
            <w:r>
              <w:rPr>
                <w:rFonts w:hint="eastAsia" w:cs="Times New Roman"/>
                <w:color w:val="auto"/>
                <w:sz w:val="24"/>
                <w:szCs w:val="24"/>
                <w:lang w:val="en-US" w:eastAsia="zh-CN"/>
              </w:rPr>
              <w:t>，本项目生活污水产生量为</w:t>
            </w:r>
            <w:r>
              <w:rPr>
                <w:rFonts w:hint="eastAsia" w:cs="Times New Roman"/>
                <w:color w:val="auto"/>
                <w:kern w:val="24"/>
                <w:sz w:val="24"/>
                <w:szCs w:val="24"/>
                <w:highlight w:val="none"/>
                <w:lang w:val="en-US" w:eastAsia="zh-CN"/>
              </w:rPr>
              <w:t>0.48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d（</w:t>
            </w:r>
            <w:r>
              <w:rPr>
                <w:rFonts w:hint="eastAsia" w:cs="Times New Roman"/>
                <w:color w:val="auto"/>
                <w:kern w:val="24"/>
                <w:sz w:val="24"/>
                <w:szCs w:val="24"/>
                <w:highlight w:val="none"/>
                <w:lang w:val="en-US" w:eastAsia="zh-CN"/>
              </w:rPr>
              <w:t>72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kern w:val="24"/>
                <w:sz w:val="24"/>
                <w:szCs w:val="24"/>
                <w:highlight w:val="none"/>
              </w:rPr>
              <w:t>/a</w:t>
            </w:r>
            <w:r>
              <w:rPr>
                <w:rFonts w:hint="eastAsia" w:cs="Times New Roman"/>
                <w:color w:val="auto"/>
                <w:sz w:val="24"/>
                <w:szCs w:val="24"/>
                <w:highlight w:val="none"/>
                <w:lang w:val="en-US" w:eastAsia="zh-CN"/>
              </w:rPr>
              <w:t>）</w:t>
            </w:r>
            <w:r>
              <w:rPr>
                <w:rFonts w:hint="eastAsia" w:cs="Times New Roman"/>
                <w:color w:val="auto"/>
                <w:sz w:val="24"/>
                <w:lang w:eastAsia="zh-CN"/>
              </w:rPr>
              <w:t>，产生量较小，水质简单，故本项目处理措施合理。</w:t>
            </w:r>
          </w:p>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b/>
                <w:bCs/>
              </w:rPr>
            </w:pPr>
            <w:r>
              <w:rPr>
                <w:rFonts w:hint="eastAsia"/>
                <w:b/>
                <w:bCs/>
                <w:lang w:val="en-US" w:eastAsia="zh-CN"/>
              </w:rPr>
              <w:t>2</w:t>
            </w:r>
            <w:r>
              <w:rPr>
                <w:rFonts w:hint="eastAsia"/>
                <w:b/>
                <w:bCs/>
                <w:lang w:val="en-US"/>
              </w:rPr>
              <w:t>.3</w:t>
            </w:r>
            <w:r>
              <w:rPr>
                <w:b/>
                <w:bCs/>
              </w:rPr>
              <w:t>建设项目废水污染物排放信息表</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建设项目废水类别、污染物及污染治理设施信息表见下表</w:t>
            </w:r>
            <w:r>
              <w:rPr>
                <w:rFonts w:hint="eastAsia"/>
                <w:lang w:val="en-US"/>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0"/>
              <w:textAlignment w:val="auto"/>
              <w:rPr>
                <w:b/>
                <w:bCs/>
                <w:sz w:val="21"/>
                <w:szCs w:val="21"/>
              </w:rPr>
            </w:pPr>
            <w:r>
              <w:rPr>
                <w:b/>
                <w:bCs/>
                <w:sz w:val="21"/>
                <w:szCs w:val="21"/>
              </w:rPr>
              <w:t>表</w:t>
            </w:r>
            <w:r>
              <w:rPr>
                <w:rFonts w:hint="eastAsia"/>
                <w:b/>
                <w:bCs/>
                <w:sz w:val="21"/>
                <w:szCs w:val="21"/>
                <w:lang w:val="en-US"/>
              </w:rPr>
              <w:t>4-</w:t>
            </w:r>
            <w:r>
              <w:rPr>
                <w:rFonts w:hint="eastAsia"/>
                <w:b/>
                <w:bCs/>
                <w:sz w:val="21"/>
                <w:szCs w:val="21"/>
                <w:lang w:val="en-US" w:eastAsia="zh-CN"/>
              </w:rPr>
              <w:t>12</w:t>
            </w:r>
            <w:r>
              <w:rPr>
                <w:b/>
                <w:bCs/>
                <w:sz w:val="21"/>
                <w:szCs w:val="21"/>
              </w:rPr>
              <w:t>废水类别、污染物及污染治理设施信息表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63"/>
              <w:gridCol w:w="929"/>
              <w:gridCol w:w="785"/>
              <w:gridCol w:w="712"/>
              <w:gridCol w:w="712"/>
              <w:gridCol w:w="713"/>
              <w:gridCol w:w="714"/>
              <w:gridCol w:w="630"/>
              <w:gridCol w:w="721"/>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23" w:type="dxa"/>
                  <w:vMerge w:val="restart"/>
                  <w:noWrap w:val="0"/>
                  <w:vAlign w:val="center"/>
                </w:tcPr>
                <w:p>
                  <w:pPr>
                    <w:spacing w:line="240" w:lineRule="exact"/>
                    <w:ind w:firstLine="0" w:firstLineChars="0"/>
                    <w:jc w:val="center"/>
                    <w:rPr>
                      <w:rFonts w:hint="eastAsia"/>
                      <w:b/>
                      <w:bCs/>
                      <w:color w:val="auto"/>
                      <w:sz w:val="21"/>
                      <w:szCs w:val="21"/>
                    </w:rPr>
                  </w:pPr>
                  <w:r>
                    <w:rPr>
                      <w:rFonts w:hint="eastAsia"/>
                      <w:b/>
                      <w:bCs/>
                      <w:color w:val="auto"/>
                      <w:sz w:val="21"/>
                      <w:szCs w:val="21"/>
                    </w:rPr>
                    <w:t>序号</w:t>
                  </w:r>
                </w:p>
              </w:tc>
              <w:tc>
                <w:tcPr>
                  <w:tcW w:w="863" w:type="dxa"/>
                  <w:vMerge w:val="restart"/>
                  <w:noWrap w:val="0"/>
                  <w:vAlign w:val="center"/>
                </w:tcPr>
                <w:p>
                  <w:pPr>
                    <w:spacing w:line="240" w:lineRule="exact"/>
                    <w:ind w:firstLine="0" w:firstLineChars="0"/>
                    <w:jc w:val="center"/>
                    <w:rPr>
                      <w:rFonts w:hint="eastAsia"/>
                      <w:b/>
                      <w:bCs/>
                      <w:color w:val="auto"/>
                      <w:sz w:val="21"/>
                      <w:szCs w:val="21"/>
                    </w:rPr>
                  </w:pPr>
                  <w:r>
                    <w:rPr>
                      <w:rFonts w:hint="eastAsia"/>
                      <w:b/>
                      <w:bCs/>
                      <w:color w:val="auto"/>
                      <w:sz w:val="21"/>
                      <w:szCs w:val="21"/>
                    </w:rPr>
                    <w:t>废水类别</w:t>
                  </w:r>
                </w:p>
              </w:tc>
              <w:tc>
                <w:tcPr>
                  <w:tcW w:w="929" w:type="dxa"/>
                  <w:vMerge w:val="restart"/>
                  <w:noWrap w:val="0"/>
                  <w:vAlign w:val="center"/>
                </w:tcPr>
                <w:p>
                  <w:pPr>
                    <w:spacing w:line="240" w:lineRule="exact"/>
                    <w:ind w:firstLine="0" w:firstLineChars="0"/>
                    <w:jc w:val="center"/>
                    <w:rPr>
                      <w:rFonts w:hint="eastAsia"/>
                      <w:b/>
                      <w:bCs/>
                      <w:color w:val="auto"/>
                      <w:sz w:val="21"/>
                      <w:szCs w:val="21"/>
                    </w:rPr>
                  </w:pPr>
                  <w:r>
                    <w:rPr>
                      <w:rFonts w:hint="eastAsia"/>
                      <w:b/>
                      <w:bCs/>
                      <w:color w:val="auto"/>
                      <w:sz w:val="21"/>
                      <w:szCs w:val="21"/>
                    </w:rPr>
                    <w:t>污染物种类</w:t>
                  </w:r>
                </w:p>
              </w:tc>
              <w:tc>
                <w:tcPr>
                  <w:tcW w:w="785" w:type="dxa"/>
                  <w:vMerge w:val="restart"/>
                  <w:noWrap w:val="0"/>
                  <w:vAlign w:val="center"/>
                </w:tcPr>
                <w:p>
                  <w:pPr>
                    <w:spacing w:line="240" w:lineRule="exact"/>
                    <w:ind w:firstLine="0" w:firstLineChars="0"/>
                    <w:jc w:val="center"/>
                    <w:rPr>
                      <w:rFonts w:hint="eastAsia"/>
                      <w:b/>
                      <w:bCs/>
                      <w:color w:val="auto"/>
                      <w:sz w:val="21"/>
                      <w:szCs w:val="21"/>
                    </w:rPr>
                  </w:pPr>
                  <w:r>
                    <w:rPr>
                      <w:rFonts w:hint="eastAsia"/>
                      <w:b/>
                      <w:bCs/>
                      <w:color w:val="auto"/>
                      <w:sz w:val="21"/>
                      <w:szCs w:val="21"/>
                    </w:rPr>
                    <w:t>排放去向</w:t>
                  </w:r>
                </w:p>
              </w:tc>
              <w:tc>
                <w:tcPr>
                  <w:tcW w:w="712" w:type="dxa"/>
                  <w:vMerge w:val="restart"/>
                  <w:noWrap w:val="0"/>
                  <w:vAlign w:val="center"/>
                </w:tcPr>
                <w:p>
                  <w:pPr>
                    <w:spacing w:line="240" w:lineRule="exact"/>
                    <w:ind w:firstLine="0" w:firstLineChars="0"/>
                    <w:jc w:val="center"/>
                    <w:rPr>
                      <w:rFonts w:hint="eastAsia"/>
                      <w:b/>
                      <w:bCs/>
                      <w:color w:val="auto"/>
                      <w:sz w:val="21"/>
                      <w:szCs w:val="21"/>
                    </w:rPr>
                  </w:pPr>
                  <w:r>
                    <w:rPr>
                      <w:rFonts w:hint="eastAsia"/>
                      <w:b/>
                      <w:bCs/>
                      <w:color w:val="auto"/>
                      <w:sz w:val="21"/>
                      <w:szCs w:val="21"/>
                    </w:rPr>
                    <w:t>排放规律</w:t>
                  </w:r>
                </w:p>
              </w:tc>
              <w:tc>
                <w:tcPr>
                  <w:tcW w:w="2139" w:type="dxa"/>
                  <w:gridSpan w:val="3"/>
                  <w:noWrap w:val="0"/>
                  <w:vAlign w:val="center"/>
                </w:tcPr>
                <w:p>
                  <w:pPr>
                    <w:spacing w:line="240" w:lineRule="exact"/>
                    <w:ind w:firstLine="0" w:firstLineChars="0"/>
                    <w:jc w:val="center"/>
                    <w:rPr>
                      <w:rFonts w:hint="eastAsia"/>
                      <w:b/>
                      <w:bCs/>
                      <w:color w:val="auto"/>
                      <w:sz w:val="21"/>
                      <w:szCs w:val="21"/>
                    </w:rPr>
                  </w:pPr>
                  <w:r>
                    <w:rPr>
                      <w:rFonts w:hint="eastAsia"/>
                      <w:b/>
                      <w:bCs/>
                      <w:color w:val="auto"/>
                      <w:sz w:val="21"/>
                      <w:szCs w:val="21"/>
                    </w:rPr>
                    <w:t>污染治理设施</w:t>
                  </w:r>
                </w:p>
              </w:tc>
              <w:tc>
                <w:tcPr>
                  <w:tcW w:w="630" w:type="dxa"/>
                  <w:vMerge w:val="restart"/>
                  <w:noWrap w:val="0"/>
                  <w:vAlign w:val="center"/>
                </w:tcPr>
                <w:p>
                  <w:pPr>
                    <w:spacing w:line="240" w:lineRule="exact"/>
                    <w:ind w:firstLine="0" w:firstLineChars="0"/>
                    <w:jc w:val="center"/>
                    <w:rPr>
                      <w:rFonts w:hint="eastAsia"/>
                      <w:b/>
                      <w:bCs/>
                      <w:color w:val="auto"/>
                      <w:sz w:val="21"/>
                      <w:szCs w:val="21"/>
                    </w:rPr>
                  </w:pPr>
                  <w:r>
                    <w:rPr>
                      <w:rFonts w:hint="eastAsia"/>
                      <w:b/>
                      <w:bCs/>
                      <w:color w:val="auto"/>
                      <w:sz w:val="21"/>
                      <w:szCs w:val="21"/>
                    </w:rPr>
                    <w:t>排放口编号</w:t>
                  </w:r>
                </w:p>
              </w:tc>
              <w:tc>
                <w:tcPr>
                  <w:tcW w:w="721" w:type="dxa"/>
                  <w:vMerge w:val="restart"/>
                  <w:noWrap w:val="0"/>
                  <w:vAlign w:val="center"/>
                </w:tcPr>
                <w:p>
                  <w:pPr>
                    <w:spacing w:line="240" w:lineRule="exact"/>
                    <w:ind w:firstLine="0" w:firstLineChars="0"/>
                    <w:jc w:val="center"/>
                    <w:rPr>
                      <w:rFonts w:hint="eastAsia"/>
                      <w:b/>
                      <w:bCs/>
                      <w:color w:val="auto"/>
                      <w:sz w:val="21"/>
                      <w:szCs w:val="21"/>
                    </w:rPr>
                  </w:pPr>
                  <w:r>
                    <w:rPr>
                      <w:rFonts w:hint="eastAsia"/>
                      <w:b/>
                      <w:bCs/>
                      <w:color w:val="auto"/>
                      <w:sz w:val="21"/>
                      <w:szCs w:val="21"/>
                    </w:rPr>
                    <w:t>排放口设置是否符合要求</w:t>
                  </w:r>
                </w:p>
              </w:tc>
              <w:tc>
                <w:tcPr>
                  <w:tcW w:w="854" w:type="dxa"/>
                  <w:vMerge w:val="restart"/>
                  <w:noWrap w:val="0"/>
                  <w:vAlign w:val="center"/>
                </w:tcPr>
                <w:p>
                  <w:pPr>
                    <w:spacing w:line="240" w:lineRule="exact"/>
                    <w:ind w:firstLine="0" w:firstLineChars="0"/>
                    <w:jc w:val="center"/>
                    <w:rPr>
                      <w:rFonts w:hint="eastAsia"/>
                      <w:b/>
                      <w:bCs/>
                      <w:color w:val="auto"/>
                      <w:sz w:val="21"/>
                      <w:szCs w:val="21"/>
                    </w:rPr>
                  </w:pPr>
                  <w:r>
                    <w:rPr>
                      <w:rFonts w:hint="eastAsia"/>
                      <w:b/>
                      <w:bCs/>
                      <w:color w:val="auto"/>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423" w:type="dxa"/>
                  <w:vMerge w:val="continue"/>
                  <w:noWrap w:val="0"/>
                  <w:vAlign w:val="center"/>
                </w:tcPr>
                <w:p>
                  <w:pPr>
                    <w:spacing w:line="240" w:lineRule="exact"/>
                    <w:ind w:firstLine="0" w:firstLineChars="0"/>
                    <w:jc w:val="center"/>
                    <w:rPr>
                      <w:b w:val="0"/>
                      <w:bCs w:val="0"/>
                      <w:color w:val="auto"/>
                      <w:sz w:val="21"/>
                      <w:szCs w:val="21"/>
                    </w:rPr>
                  </w:pPr>
                </w:p>
              </w:tc>
              <w:tc>
                <w:tcPr>
                  <w:tcW w:w="863" w:type="dxa"/>
                  <w:vMerge w:val="continue"/>
                  <w:noWrap w:val="0"/>
                  <w:vAlign w:val="center"/>
                </w:tcPr>
                <w:p>
                  <w:pPr>
                    <w:spacing w:line="240" w:lineRule="exact"/>
                    <w:ind w:firstLine="0" w:firstLineChars="0"/>
                    <w:jc w:val="center"/>
                    <w:rPr>
                      <w:b w:val="0"/>
                      <w:bCs w:val="0"/>
                      <w:color w:val="auto"/>
                      <w:sz w:val="21"/>
                      <w:szCs w:val="21"/>
                    </w:rPr>
                  </w:pPr>
                </w:p>
              </w:tc>
              <w:tc>
                <w:tcPr>
                  <w:tcW w:w="929" w:type="dxa"/>
                  <w:vMerge w:val="continue"/>
                  <w:noWrap w:val="0"/>
                  <w:vAlign w:val="center"/>
                </w:tcPr>
                <w:p>
                  <w:pPr>
                    <w:spacing w:line="240" w:lineRule="exact"/>
                    <w:ind w:firstLine="0" w:firstLineChars="0"/>
                    <w:jc w:val="center"/>
                    <w:rPr>
                      <w:b w:val="0"/>
                      <w:bCs w:val="0"/>
                      <w:color w:val="auto"/>
                      <w:sz w:val="21"/>
                      <w:szCs w:val="21"/>
                    </w:rPr>
                  </w:pPr>
                </w:p>
              </w:tc>
              <w:tc>
                <w:tcPr>
                  <w:tcW w:w="785" w:type="dxa"/>
                  <w:vMerge w:val="continue"/>
                  <w:noWrap w:val="0"/>
                  <w:vAlign w:val="center"/>
                </w:tcPr>
                <w:p>
                  <w:pPr>
                    <w:spacing w:line="240" w:lineRule="exact"/>
                    <w:ind w:firstLine="0" w:firstLineChars="0"/>
                    <w:jc w:val="center"/>
                    <w:rPr>
                      <w:b w:val="0"/>
                      <w:bCs w:val="0"/>
                      <w:color w:val="auto"/>
                      <w:sz w:val="21"/>
                      <w:szCs w:val="21"/>
                    </w:rPr>
                  </w:pPr>
                </w:p>
              </w:tc>
              <w:tc>
                <w:tcPr>
                  <w:tcW w:w="712" w:type="dxa"/>
                  <w:vMerge w:val="continue"/>
                  <w:noWrap w:val="0"/>
                  <w:vAlign w:val="center"/>
                </w:tcPr>
                <w:p>
                  <w:pPr>
                    <w:spacing w:line="240" w:lineRule="exact"/>
                    <w:ind w:firstLine="0" w:firstLineChars="0"/>
                    <w:jc w:val="center"/>
                    <w:rPr>
                      <w:b w:val="0"/>
                      <w:bCs w:val="0"/>
                      <w:color w:val="auto"/>
                      <w:sz w:val="21"/>
                      <w:szCs w:val="21"/>
                    </w:rPr>
                  </w:pPr>
                </w:p>
              </w:tc>
              <w:tc>
                <w:tcPr>
                  <w:tcW w:w="712" w:type="dxa"/>
                  <w:noWrap w:val="0"/>
                  <w:vAlign w:val="center"/>
                </w:tcPr>
                <w:p>
                  <w:pPr>
                    <w:spacing w:line="240" w:lineRule="exact"/>
                    <w:ind w:firstLine="0" w:firstLineChars="0"/>
                    <w:jc w:val="center"/>
                    <w:rPr>
                      <w:b/>
                      <w:bCs/>
                      <w:color w:val="auto"/>
                      <w:sz w:val="21"/>
                      <w:szCs w:val="21"/>
                    </w:rPr>
                  </w:pPr>
                  <w:r>
                    <w:rPr>
                      <w:rFonts w:hint="eastAsia"/>
                      <w:b/>
                      <w:bCs/>
                      <w:color w:val="auto"/>
                      <w:sz w:val="21"/>
                      <w:szCs w:val="21"/>
                    </w:rPr>
                    <w:t>污染治理设施编号</w:t>
                  </w:r>
                </w:p>
              </w:tc>
              <w:tc>
                <w:tcPr>
                  <w:tcW w:w="713" w:type="dxa"/>
                  <w:noWrap w:val="0"/>
                  <w:vAlign w:val="center"/>
                </w:tcPr>
                <w:p>
                  <w:pPr>
                    <w:spacing w:line="240" w:lineRule="exact"/>
                    <w:ind w:firstLine="0" w:firstLineChars="0"/>
                    <w:jc w:val="center"/>
                    <w:rPr>
                      <w:b/>
                      <w:bCs/>
                      <w:color w:val="auto"/>
                      <w:sz w:val="21"/>
                      <w:szCs w:val="21"/>
                    </w:rPr>
                  </w:pPr>
                  <w:r>
                    <w:rPr>
                      <w:rFonts w:hint="eastAsia"/>
                      <w:b/>
                      <w:bCs/>
                      <w:color w:val="auto"/>
                      <w:sz w:val="21"/>
                      <w:szCs w:val="21"/>
                    </w:rPr>
                    <w:t>污染治理设施名称</w:t>
                  </w:r>
                </w:p>
              </w:tc>
              <w:tc>
                <w:tcPr>
                  <w:tcW w:w="714" w:type="dxa"/>
                  <w:noWrap w:val="0"/>
                  <w:vAlign w:val="center"/>
                </w:tcPr>
                <w:p>
                  <w:pPr>
                    <w:spacing w:line="240" w:lineRule="exact"/>
                    <w:ind w:firstLine="0" w:firstLineChars="0"/>
                    <w:jc w:val="center"/>
                    <w:rPr>
                      <w:b/>
                      <w:bCs/>
                      <w:color w:val="auto"/>
                      <w:sz w:val="21"/>
                      <w:szCs w:val="21"/>
                    </w:rPr>
                  </w:pPr>
                  <w:r>
                    <w:rPr>
                      <w:rFonts w:hint="eastAsia"/>
                      <w:b/>
                      <w:bCs/>
                      <w:color w:val="auto"/>
                      <w:sz w:val="21"/>
                      <w:szCs w:val="21"/>
                    </w:rPr>
                    <w:t>污染治理设施工艺</w:t>
                  </w:r>
                </w:p>
              </w:tc>
              <w:tc>
                <w:tcPr>
                  <w:tcW w:w="630" w:type="dxa"/>
                  <w:vMerge w:val="continue"/>
                  <w:noWrap w:val="0"/>
                  <w:vAlign w:val="center"/>
                </w:tcPr>
                <w:p>
                  <w:pPr>
                    <w:spacing w:line="240" w:lineRule="exact"/>
                    <w:ind w:firstLine="0" w:firstLineChars="0"/>
                    <w:jc w:val="center"/>
                    <w:rPr>
                      <w:b w:val="0"/>
                      <w:bCs w:val="0"/>
                      <w:color w:val="auto"/>
                      <w:sz w:val="21"/>
                      <w:szCs w:val="21"/>
                    </w:rPr>
                  </w:pPr>
                </w:p>
              </w:tc>
              <w:tc>
                <w:tcPr>
                  <w:tcW w:w="721" w:type="dxa"/>
                  <w:vMerge w:val="continue"/>
                  <w:noWrap w:val="0"/>
                  <w:vAlign w:val="center"/>
                </w:tcPr>
                <w:p>
                  <w:pPr>
                    <w:spacing w:line="240" w:lineRule="exact"/>
                    <w:ind w:firstLine="0" w:firstLineChars="0"/>
                    <w:jc w:val="center"/>
                    <w:rPr>
                      <w:b w:val="0"/>
                      <w:bCs w:val="0"/>
                      <w:color w:val="auto"/>
                      <w:sz w:val="21"/>
                      <w:szCs w:val="21"/>
                    </w:rPr>
                  </w:pPr>
                </w:p>
              </w:tc>
              <w:tc>
                <w:tcPr>
                  <w:tcW w:w="854" w:type="dxa"/>
                  <w:vMerge w:val="continue"/>
                  <w:noWrap w:val="0"/>
                  <w:vAlign w:val="center"/>
                </w:tcPr>
                <w:p>
                  <w:pPr>
                    <w:spacing w:line="240" w:lineRule="exact"/>
                    <w:ind w:firstLine="0" w:firstLineChars="0"/>
                    <w:jc w:val="center"/>
                    <w:rPr>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423" w:type="dxa"/>
                  <w:noWrap w:val="0"/>
                  <w:vAlign w:val="center"/>
                </w:tcPr>
                <w:p>
                  <w:pPr>
                    <w:spacing w:line="240" w:lineRule="exact"/>
                    <w:ind w:firstLine="0" w:firstLineChars="0"/>
                    <w:jc w:val="center"/>
                    <w:rPr>
                      <w:b w:val="0"/>
                      <w:bCs w:val="0"/>
                      <w:color w:val="auto"/>
                      <w:sz w:val="21"/>
                      <w:szCs w:val="21"/>
                    </w:rPr>
                  </w:pPr>
                  <w:r>
                    <w:rPr>
                      <w:rFonts w:hint="eastAsia"/>
                      <w:b w:val="0"/>
                      <w:bCs w:val="0"/>
                      <w:color w:val="auto"/>
                      <w:sz w:val="21"/>
                      <w:szCs w:val="21"/>
                    </w:rPr>
                    <w:t>1</w:t>
                  </w:r>
                </w:p>
              </w:tc>
              <w:tc>
                <w:tcPr>
                  <w:tcW w:w="863" w:type="dxa"/>
                  <w:noWrap w:val="0"/>
                  <w:vAlign w:val="center"/>
                </w:tcPr>
                <w:p>
                  <w:pPr>
                    <w:spacing w:line="240" w:lineRule="exact"/>
                    <w:ind w:firstLine="0" w:firstLineChars="0"/>
                    <w:jc w:val="center"/>
                    <w:rPr>
                      <w:rFonts w:hint="eastAsia" w:eastAsia="宋体"/>
                      <w:b w:val="0"/>
                      <w:bCs w:val="0"/>
                      <w:color w:val="auto"/>
                      <w:sz w:val="21"/>
                      <w:szCs w:val="21"/>
                      <w:lang w:eastAsia="zh-CN"/>
                    </w:rPr>
                  </w:pPr>
                  <w:r>
                    <w:rPr>
                      <w:rFonts w:hint="default" w:ascii="Times New Roman" w:hAnsi="Times New Roman" w:eastAsia="宋体" w:cs="Times New Roman"/>
                      <w:color w:val="auto"/>
                      <w:sz w:val="21"/>
                      <w:szCs w:val="21"/>
                      <w:highlight w:val="none"/>
                      <w:lang w:eastAsia="zh-CN"/>
                    </w:rPr>
                    <w:t>车辆清洗用水</w:t>
                  </w:r>
                </w:p>
              </w:tc>
              <w:tc>
                <w:tcPr>
                  <w:tcW w:w="929" w:type="dxa"/>
                  <w:noWrap w:val="0"/>
                  <w:vAlign w:val="center"/>
                </w:tcPr>
                <w:p>
                  <w:pPr>
                    <w:spacing w:line="240" w:lineRule="exact"/>
                    <w:ind w:firstLine="0" w:firstLineChars="0"/>
                    <w:jc w:val="center"/>
                    <w:rPr>
                      <w:rFonts w:hint="default" w:eastAsia="宋体"/>
                      <w:b w:val="0"/>
                      <w:bCs w:val="0"/>
                      <w:color w:val="auto"/>
                      <w:sz w:val="21"/>
                      <w:szCs w:val="21"/>
                      <w:lang w:val="en-US" w:eastAsia="zh-CN"/>
                    </w:rPr>
                  </w:pPr>
                  <w:r>
                    <w:rPr>
                      <w:rFonts w:hint="eastAsia"/>
                      <w:color w:val="auto"/>
                      <w:kern w:val="24"/>
                      <w:sz w:val="21"/>
                      <w:szCs w:val="21"/>
                      <w:lang w:val="en-US" w:eastAsia="zh-CN"/>
                    </w:rPr>
                    <w:t>SS</w:t>
                  </w:r>
                </w:p>
              </w:tc>
              <w:tc>
                <w:tcPr>
                  <w:tcW w:w="785" w:type="dxa"/>
                  <w:noWrap w:val="0"/>
                  <w:vAlign w:val="center"/>
                </w:tcPr>
                <w:p>
                  <w:pPr>
                    <w:spacing w:line="240" w:lineRule="exact"/>
                    <w:ind w:firstLine="0" w:firstLineChars="0"/>
                    <w:jc w:val="center"/>
                    <w:rPr>
                      <w:rFonts w:hint="default" w:eastAsia="宋体"/>
                      <w:b w:val="0"/>
                      <w:bCs w:val="0"/>
                      <w:color w:val="auto"/>
                      <w:sz w:val="21"/>
                      <w:szCs w:val="21"/>
                      <w:lang w:val="en-US" w:eastAsia="zh-CN"/>
                    </w:rPr>
                  </w:pPr>
                  <w:r>
                    <w:rPr>
                      <w:rFonts w:hint="eastAsia"/>
                      <w:b w:val="0"/>
                      <w:bCs w:val="0"/>
                      <w:color w:val="auto"/>
                      <w:sz w:val="21"/>
                      <w:szCs w:val="21"/>
                      <w:lang w:eastAsia="zh-CN"/>
                    </w:rPr>
                    <w:t>回用于车辆清洗</w:t>
                  </w:r>
                </w:p>
              </w:tc>
              <w:tc>
                <w:tcPr>
                  <w:tcW w:w="712" w:type="dxa"/>
                  <w:noWrap w:val="0"/>
                  <w:vAlign w:val="center"/>
                </w:tcPr>
                <w:p>
                  <w:pPr>
                    <w:spacing w:line="240" w:lineRule="exact"/>
                    <w:ind w:firstLine="0" w:firstLineChars="0"/>
                    <w:jc w:val="center"/>
                    <w:rPr>
                      <w:rFonts w:hint="eastAsia"/>
                      <w:b w:val="0"/>
                      <w:bCs w:val="0"/>
                      <w:color w:val="auto"/>
                      <w:sz w:val="21"/>
                      <w:szCs w:val="21"/>
                    </w:rPr>
                  </w:pPr>
                  <w:r>
                    <w:rPr>
                      <w:rFonts w:hint="eastAsia"/>
                      <w:b w:val="0"/>
                      <w:bCs w:val="0"/>
                      <w:color w:val="auto"/>
                      <w:sz w:val="21"/>
                      <w:szCs w:val="21"/>
                    </w:rPr>
                    <w:t>间断排放，排放期间流量不稳定且无规律，但不属于冲击型排放</w:t>
                  </w:r>
                </w:p>
              </w:tc>
              <w:tc>
                <w:tcPr>
                  <w:tcW w:w="712" w:type="dxa"/>
                  <w:noWrap w:val="0"/>
                  <w:vAlign w:val="center"/>
                </w:tcPr>
                <w:p>
                  <w:pPr>
                    <w:spacing w:line="240" w:lineRule="exact"/>
                    <w:rPr>
                      <w:rFonts w:hint="default"/>
                      <w:b w:val="0"/>
                      <w:bCs w:val="0"/>
                      <w:color w:val="auto"/>
                      <w:sz w:val="21"/>
                      <w:szCs w:val="21"/>
                      <w:lang w:val="en-US"/>
                    </w:rPr>
                  </w:pPr>
                  <w:r>
                    <w:rPr>
                      <w:rFonts w:hint="eastAsia"/>
                      <w:sz w:val="21"/>
                      <w:szCs w:val="21"/>
                      <w:lang w:val="en-US" w:eastAsia="zh-CN"/>
                    </w:rPr>
                    <w:t>-</w:t>
                  </w:r>
                </w:p>
              </w:tc>
              <w:tc>
                <w:tcPr>
                  <w:tcW w:w="713" w:type="dxa"/>
                  <w:noWrap w:val="0"/>
                  <w:vAlign w:val="center"/>
                </w:tcPr>
                <w:p>
                  <w:pPr>
                    <w:spacing w:line="240" w:lineRule="exact"/>
                    <w:rPr>
                      <w:rFonts w:hint="eastAsia"/>
                      <w:b w:val="0"/>
                      <w:bCs w:val="0"/>
                      <w:color w:val="auto"/>
                      <w:sz w:val="21"/>
                      <w:szCs w:val="21"/>
                    </w:rPr>
                  </w:pPr>
                  <w:r>
                    <w:rPr>
                      <w:rFonts w:hint="eastAsia"/>
                      <w:sz w:val="21"/>
                      <w:szCs w:val="21"/>
                      <w:lang w:val="en-US" w:eastAsia="zh-CN"/>
                    </w:rPr>
                    <w:t>-</w:t>
                  </w:r>
                </w:p>
              </w:tc>
              <w:tc>
                <w:tcPr>
                  <w:tcW w:w="714" w:type="dxa"/>
                  <w:noWrap w:val="0"/>
                  <w:vAlign w:val="center"/>
                </w:tcPr>
                <w:p>
                  <w:pPr>
                    <w:spacing w:line="240" w:lineRule="exact"/>
                    <w:rPr>
                      <w:rFonts w:hint="eastAsia" w:eastAsia="宋体"/>
                      <w:b w:val="0"/>
                      <w:bCs w:val="0"/>
                      <w:color w:val="auto"/>
                      <w:sz w:val="21"/>
                      <w:szCs w:val="21"/>
                      <w:lang w:eastAsia="zh-CN"/>
                    </w:rPr>
                  </w:pPr>
                  <w:r>
                    <w:rPr>
                      <w:rFonts w:hint="eastAsia"/>
                      <w:sz w:val="21"/>
                      <w:szCs w:val="21"/>
                      <w:lang w:val="en-US" w:eastAsia="zh-CN"/>
                    </w:rPr>
                    <w:t>-</w:t>
                  </w:r>
                </w:p>
              </w:tc>
              <w:tc>
                <w:tcPr>
                  <w:tcW w:w="630" w:type="dxa"/>
                  <w:noWrap w:val="0"/>
                  <w:vAlign w:val="center"/>
                </w:tcPr>
                <w:p>
                  <w:pPr>
                    <w:spacing w:line="240" w:lineRule="exact"/>
                    <w:ind w:firstLine="0" w:firstLineChars="0"/>
                    <w:jc w:val="center"/>
                    <w:rPr>
                      <w:rFonts w:hint="eastAsia"/>
                      <w:b w:val="0"/>
                      <w:bCs w:val="0"/>
                      <w:color w:val="auto"/>
                      <w:sz w:val="21"/>
                      <w:szCs w:val="21"/>
                    </w:rPr>
                  </w:pPr>
                  <w:r>
                    <w:rPr>
                      <w:rFonts w:hint="eastAsia"/>
                      <w:b w:val="0"/>
                      <w:bCs w:val="0"/>
                      <w:color w:val="auto"/>
                      <w:sz w:val="21"/>
                      <w:szCs w:val="21"/>
                    </w:rPr>
                    <w:t>——</w:t>
                  </w:r>
                </w:p>
              </w:tc>
              <w:tc>
                <w:tcPr>
                  <w:tcW w:w="721" w:type="dxa"/>
                  <w:noWrap w:val="0"/>
                  <w:vAlign w:val="center"/>
                </w:tcPr>
                <w:p>
                  <w:pPr>
                    <w:spacing w:line="240" w:lineRule="exact"/>
                    <w:ind w:firstLine="0" w:firstLineChars="0"/>
                    <w:jc w:val="center"/>
                    <w:rPr>
                      <w:rFonts w:hint="eastAsia"/>
                      <w:b w:val="0"/>
                      <w:bCs w:val="0"/>
                      <w:color w:val="auto"/>
                      <w:sz w:val="21"/>
                      <w:szCs w:val="21"/>
                    </w:rPr>
                  </w:pPr>
                  <w:r>
                    <w:rPr>
                      <w:b w:val="0"/>
                      <w:bCs w:val="0"/>
                      <w:color w:val="auto"/>
                      <w:sz w:val="21"/>
                      <w:szCs w:val="21"/>
                    </w:rPr>
                    <w:sym w:font="Wingdings 2" w:char="00A3"/>
                  </w:r>
                  <w:r>
                    <w:rPr>
                      <w:rFonts w:hint="eastAsia"/>
                      <w:b w:val="0"/>
                      <w:bCs w:val="0"/>
                      <w:color w:val="auto"/>
                      <w:sz w:val="21"/>
                      <w:szCs w:val="21"/>
                    </w:rPr>
                    <w:t>是</w:t>
                  </w:r>
                </w:p>
                <w:p>
                  <w:pPr>
                    <w:spacing w:line="240" w:lineRule="exact"/>
                    <w:ind w:firstLine="0" w:firstLineChars="0"/>
                    <w:jc w:val="center"/>
                    <w:rPr>
                      <w:rFonts w:hint="eastAsia"/>
                      <w:b w:val="0"/>
                      <w:bCs w:val="0"/>
                      <w:color w:val="auto"/>
                      <w:sz w:val="21"/>
                      <w:szCs w:val="21"/>
                    </w:rPr>
                  </w:pPr>
                  <w:r>
                    <w:rPr>
                      <w:rFonts w:hint="eastAsia"/>
                      <w:b w:val="0"/>
                      <w:bCs w:val="0"/>
                      <w:color w:val="auto"/>
                      <w:sz w:val="21"/>
                      <w:szCs w:val="21"/>
                    </w:rPr>
                    <w:sym w:font="Wingdings 2" w:char="00A3"/>
                  </w:r>
                  <w:r>
                    <w:rPr>
                      <w:rFonts w:hint="eastAsia"/>
                      <w:b w:val="0"/>
                      <w:bCs w:val="0"/>
                      <w:color w:val="auto"/>
                      <w:sz w:val="21"/>
                      <w:szCs w:val="21"/>
                    </w:rPr>
                    <w:t>否</w:t>
                  </w:r>
                </w:p>
              </w:tc>
              <w:tc>
                <w:tcPr>
                  <w:tcW w:w="854" w:type="dxa"/>
                  <w:vMerge w:val="restart"/>
                  <w:noWrap w:val="0"/>
                  <w:vAlign w:val="center"/>
                </w:tcPr>
                <w:p>
                  <w:pPr>
                    <w:spacing w:line="240" w:lineRule="exact"/>
                    <w:ind w:firstLine="0" w:firstLineChars="0"/>
                    <w:jc w:val="center"/>
                    <w:rPr>
                      <w:rFonts w:hint="eastAsia"/>
                      <w:b w:val="0"/>
                      <w:bCs w:val="0"/>
                      <w:color w:val="auto"/>
                      <w:sz w:val="21"/>
                      <w:szCs w:val="21"/>
                    </w:rPr>
                  </w:pPr>
                  <w:r>
                    <w:rPr>
                      <w:b w:val="0"/>
                      <w:bCs w:val="0"/>
                      <w:color w:val="auto"/>
                      <w:sz w:val="21"/>
                      <w:szCs w:val="21"/>
                    </w:rPr>
                    <w:sym w:font="Wingdings 2" w:char="00A3"/>
                  </w:r>
                  <w:r>
                    <w:rPr>
                      <w:rFonts w:hint="eastAsia"/>
                      <w:b w:val="0"/>
                      <w:bCs w:val="0"/>
                      <w:color w:val="auto"/>
                      <w:sz w:val="21"/>
                      <w:szCs w:val="21"/>
                    </w:rPr>
                    <w:t>企业总排</w:t>
                  </w:r>
                </w:p>
                <w:p>
                  <w:pPr>
                    <w:spacing w:line="240" w:lineRule="exact"/>
                    <w:ind w:firstLine="0" w:firstLineChars="0"/>
                    <w:jc w:val="center"/>
                    <w:rPr>
                      <w:rFonts w:hint="eastAsia"/>
                      <w:b w:val="0"/>
                      <w:bCs w:val="0"/>
                      <w:color w:val="auto"/>
                      <w:sz w:val="21"/>
                      <w:szCs w:val="21"/>
                    </w:rPr>
                  </w:pPr>
                  <w:r>
                    <w:rPr>
                      <w:rFonts w:hint="eastAsia"/>
                      <w:b w:val="0"/>
                      <w:bCs w:val="0"/>
                      <w:color w:val="auto"/>
                      <w:sz w:val="21"/>
                      <w:szCs w:val="21"/>
                    </w:rPr>
                    <w:sym w:font="Wingdings 2" w:char="00A3"/>
                  </w:r>
                  <w:r>
                    <w:rPr>
                      <w:rFonts w:hint="eastAsia"/>
                      <w:b w:val="0"/>
                      <w:bCs w:val="0"/>
                      <w:color w:val="auto"/>
                      <w:sz w:val="21"/>
                      <w:szCs w:val="21"/>
                    </w:rPr>
                    <w:t>雨水排放</w:t>
                  </w:r>
                </w:p>
                <w:p>
                  <w:pPr>
                    <w:spacing w:line="240" w:lineRule="exact"/>
                    <w:ind w:firstLine="0" w:firstLineChars="0"/>
                    <w:jc w:val="center"/>
                    <w:rPr>
                      <w:rFonts w:hint="eastAsia"/>
                      <w:b w:val="0"/>
                      <w:bCs w:val="0"/>
                      <w:color w:val="auto"/>
                      <w:sz w:val="21"/>
                      <w:szCs w:val="21"/>
                    </w:rPr>
                  </w:pPr>
                  <w:r>
                    <w:rPr>
                      <w:rFonts w:hint="eastAsia"/>
                      <w:b w:val="0"/>
                      <w:bCs w:val="0"/>
                      <w:color w:val="auto"/>
                      <w:sz w:val="21"/>
                      <w:szCs w:val="21"/>
                    </w:rPr>
                    <w:sym w:font="Wingdings 2" w:char="00A3"/>
                  </w:r>
                  <w:r>
                    <w:rPr>
                      <w:rFonts w:hint="eastAsia"/>
                      <w:b w:val="0"/>
                      <w:bCs w:val="0"/>
                      <w:color w:val="auto"/>
                      <w:sz w:val="21"/>
                      <w:szCs w:val="21"/>
                    </w:rPr>
                    <w:t>清净下水排放</w:t>
                  </w:r>
                </w:p>
                <w:p>
                  <w:pPr>
                    <w:spacing w:line="240" w:lineRule="exact"/>
                    <w:ind w:firstLine="0" w:firstLineChars="0"/>
                    <w:jc w:val="center"/>
                    <w:rPr>
                      <w:rFonts w:hint="eastAsia"/>
                      <w:b w:val="0"/>
                      <w:bCs w:val="0"/>
                      <w:color w:val="auto"/>
                      <w:sz w:val="21"/>
                      <w:szCs w:val="21"/>
                    </w:rPr>
                  </w:pPr>
                  <w:r>
                    <w:rPr>
                      <w:rFonts w:hint="eastAsia"/>
                      <w:b w:val="0"/>
                      <w:bCs w:val="0"/>
                      <w:color w:val="auto"/>
                      <w:sz w:val="21"/>
                      <w:szCs w:val="21"/>
                    </w:rPr>
                    <w:sym w:font="Wingdings 2" w:char="00A3"/>
                  </w:r>
                  <w:r>
                    <w:rPr>
                      <w:rFonts w:hint="eastAsia"/>
                      <w:b w:val="0"/>
                      <w:bCs w:val="0"/>
                      <w:color w:val="auto"/>
                      <w:sz w:val="21"/>
                      <w:szCs w:val="21"/>
                    </w:rPr>
                    <w:t>温排水排放</w:t>
                  </w:r>
                </w:p>
                <w:p>
                  <w:pPr>
                    <w:spacing w:line="240" w:lineRule="exact"/>
                    <w:ind w:firstLine="0" w:firstLineChars="0"/>
                    <w:jc w:val="center"/>
                    <w:rPr>
                      <w:b w:val="0"/>
                      <w:bCs w:val="0"/>
                      <w:color w:val="auto"/>
                      <w:sz w:val="21"/>
                      <w:szCs w:val="21"/>
                    </w:rPr>
                  </w:pPr>
                  <w:r>
                    <w:rPr>
                      <w:rFonts w:hint="eastAsia"/>
                      <w:b w:val="0"/>
                      <w:bCs w:val="0"/>
                      <w:color w:val="auto"/>
                      <w:sz w:val="21"/>
                      <w:szCs w:val="21"/>
                    </w:rPr>
                    <w:sym w:font="Wingdings 2" w:char="00A3"/>
                  </w:r>
                  <w:r>
                    <w:rPr>
                      <w:rFonts w:hint="eastAsia"/>
                      <w:b w:val="0"/>
                      <w:bCs w:val="0"/>
                      <w:color w:val="auto"/>
                      <w:sz w:val="21"/>
                      <w:szCs w:val="21"/>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2" w:hRule="atLeast"/>
                <w:jc w:val="center"/>
              </w:trPr>
              <w:tc>
                <w:tcPr>
                  <w:tcW w:w="423" w:type="dxa"/>
                  <w:noWrap w:val="0"/>
                  <w:vAlign w:val="center"/>
                </w:tcPr>
                <w:p>
                  <w:pPr>
                    <w:spacing w:line="24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2</w:t>
                  </w:r>
                </w:p>
              </w:tc>
              <w:tc>
                <w:tcPr>
                  <w:tcW w:w="863" w:type="dxa"/>
                  <w:noWrap w:val="0"/>
                  <w:vAlign w:val="center"/>
                </w:tcPr>
                <w:p>
                  <w:pPr>
                    <w:spacing w:line="240" w:lineRule="exact"/>
                    <w:ind w:firstLine="0" w:firstLineChars="0"/>
                    <w:jc w:val="center"/>
                    <w:rPr>
                      <w:rFonts w:hint="eastAsia"/>
                      <w:color w:val="auto"/>
                      <w:sz w:val="21"/>
                      <w:szCs w:val="21"/>
                    </w:rPr>
                  </w:pPr>
                  <w:r>
                    <w:rPr>
                      <w:rFonts w:hint="eastAsia"/>
                      <w:color w:val="auto"/>
                      <w:sz w:val="21"/>
                      <w:szCs w:val="21"/>
                    </w:rPr>
                    <w:t>生活废水</w:t>
                  </w:r>
                </w:p>
              </w:tc>
              <w:tc>
                <w:tcPr>
                  <w:tcW w:w="929" w:type="dxa"/>
                  <w:noWrap w:val="0"/>
                  <w:vAlign w:val="center"/>
                </w:tcPr>
                <w:p>
                  <w:pPr>
                    <w:adjustRightInd w:val="0"/>
                    <w:snapToGrid w:val="0"/>
                    <w:spacing w:line="240" w:lineRule="exact"/>
                    <w:ind w:firstLine="0" w:firstLineChars="0"/>
                    <w:jc w:val="center"/>
                    <w:rPr>
                      <w:rFonts w:hint="eastAsia" w:eastAsia="宋体"/>
                      <w:color w:val="auto"/>
                      <w:kern w:val="24"/>
                      <w:sz w:val="21"/>
                      <w:szCs w:val="21"/>
                      <w:lang w:eastAsia="zh-CN"/>
                    </w:rPr>
                  </w:pPr>
                  <w:r>
                    <w:rPr>
                      <w:rFonts w:hint="eastAsia"/>
                      <w:color w:val="auto"/>
                      <w:kern w:val="24"/>
                      <w:sz w:val="21"/>
                      <w:szCs w:val="21"/>
                    </w:rPr>
                    <w:t>pH</w:t>
                  </w:r>
                  <w:r>
                    <w:rPr>
                      <w:rFonts w:hint="eastAsia"/>
                      <w:color w:val="auto"/>
                      <w:kern w:val="24"/>
                      <w:sz w:val="21"/>
                      <w:szCs w:val="21"/>
                      <w:lang w:eastAsia="zh-CN"/>
                    </w:rPr>
                    <w:t>、</w:t>
                  </w:r>
                </w:p>
                <w:p>
                  <w:pPr>
                    <w:adjustRightInd w:val="0"/>
                    <w:snapToGrid w:val="0"/>
                    <w:spacing w:line="240" w:lineRule="exact"/>
                    <w:ind w:firstLine="0" w:firstLineChars="0"/>
                    <w:jc w:val="center"/>
                    <w:rPr>
                      <w:rFonts w:hint="eastAsia" w:eastAsia="宋体"/>
                      <w:color w:val="auto"/>
                      <w:kern w:val="24"/>
                      <w:sz w:val="21"/>
                      <w:szCs w:val="21"/>
                      <w:lang w:eastAsia="zh-CN"/>
                    </w:rPr>
                  </w:pPr>
                  <w:r>
                    <w:rPr>
                      <w:color w:val="auto"/>
                      <w:kern w:val="24"/>
                      <w:sz w:val="21"/>
                      <w:szCs w:val="21"/>
                    </w:rPr>
                    <w:t>COD</w:t>
                  </w:r>
                  <w:r>
                    <w:rPr>
                      <w:rFonts w:hint="eastAsia"/>
                      <w:color w:val="auto"/>
                      <w:kern w:val="24"/>
                      <w:sz w:val="21"/>
                      <w:szCs w:val="21"/>
                      <w:lang w:eastAsia="zh-CN"/>
                    </w:rPr>
                    <w:t>、</w:t>
                  </w:r>
                </w:p>
                <w:p>
                  <w:pPr>
                    <w:adjustRightInd w:val="0"/>
                    <w:snapToGrid w:val="0"/>
                    <w:spacing w:line="240" w:lineRule="exact"/>
                    <w:ind w:firstLine="0" w:firstLineChars="0"/>
                    <w:jc w:val="center"/>
                    <w:rPr>
                      <w:rFonts w:hint="eastAsia" w:eastAsia="宋体"/>
                      <w:color w:val="auto"/>
                      <w:kern w:val="24"/>
                      <w:sz w:val="21"/>
                      <w:szCs w:val="21"/>
                      <w:lang w:eastAsia="zh-CN"/>
                    </w:rPr>
                  </w:pPr>
                  <w:r>
                    <w:rPr>
                      <w:color w:val="auto"/>
                      <w:kern w:val="24"/>
                      <w:sz w:val="21"/>
                      <w:szCs w:val="21"/>
                    </w:rPr>
                    <w:t>BOD</w:t>
                  </w:r>
                  <w:r>
                    <w:rPr>
                      <w:color w:val="auto"/>
                      <w:kern w:val="24"/>
                      <w:sz w:val="21"/>
                      <w:szCs w:val="21"/>
                      <w:vertAlign w:val="subscript"/>
                    </w:rPr>
                    <w:t>5</w:t>
                  </w:r>
                  <w:r>
                    <w:rPr>
                      <w:rFonts w:hint="eastAsia"/>
                      <w:color w:val="auto"/>
                      <w:kern w:val="24"/>
                      <w:sz w:val="21"/>
                      <w:szCs w:val="21"/>
                      <w:vertAlign w:val="baseline"/>
                      <w:lang w:eastAsia="zh-CN"/>
                    </w:rPr>
                    <w:t>、</w:t>
                  </w:r>
                </w:p>
                <w:p>
                  <w:pPr>
                    <w:adjustRightInd w:val="0"/>
                    <w:snapToGrid w:val="0"/>
                    <w:spacing w:line="240" w:lineRule="exact"/>
                    <w:ind w:firstLine="0" w:firstLineChars="0"/>
                    <w:jc w:val="center"/>
                    <w:rPr>
                      <w:color w:val="auto"/>
                      <w:kern w:val="24"/>
                      <w:sz w:val="21"/>
                      <w:szCs w:val="21"/>
                    </w:rPr>
                  </w:pPr>
                  <w:r>
                    <w:rPr>
                      <w:color w:val="auto"/>
                      <w:kern w:val="24"/>
                      <w:sz w:val="21"/>
                      <w:szCs w:val="21"/>
                    </w:rPr>
                    <w:t>SS</w:t>
                  </w:r>
                </w:p>
                <w:p>
                  <w:pPr>
                    <w:spacing w:line="240" w:lineRule="exact"/>
                    <w:ind w:firstLine="0" w:firstLineChars="0"/>
                    <w:jc w:val="center"/>
                    <w:rPr>
                      <w:color w:val="auto"/>
                      <w:sz w:val="21"/>
                      <w:szCs w:val="21"/>
                    </w:rPr>
                  </w:pPr>
                  <w:r>
                    <w:rPr>
                      <w:color w:val="auto"/>
                      <w:kern w:val="24"/>
                      <w:sz w:val="21"/>
                      <w:szCs w:val="21"/>
                    </w:rPr>
                    <w:t>氨氮</w:t>
                  </w:r>
                </w:p>
              </w:tc>
              <w:tc>
                <w:tcPr>
                  <w:tcW w:w="785"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highlight w:val="none"/>
                      <w:lang w:val="en-US" w:eastAsia="zh-CN"/>
                    </w:rPr>
                    <w:t>场内建有</w:t>
                  </w:r>
                  <w:r>
                    <w:rPr>
                      <w:rFonts w:hint="eastAsia"/>
                      <w:color w:val="auto"/>
                      <w:sz w:val="21"/>
                      <w:szCs w:val="21"/>
                      <w:highlight w:val="none"/>
                      <w:lang w:eastAsia="zh-CN"/>
                    </w:rPr>
                    <w:t>化粪池，定期清掏。</w:t>
                  </w:r>
                </w:p>
              </w:tc>
              <w:tc>
                <w:tcPr>
                  <w:tcW w:w="712" w:type="dxa"/>
                  <w:noWrap w:val="0"/>
                  <w:vAlign w:val="center"/>
                </w:tcPr>
                <w:p>
                  <w:pPr>
                    <w:spacing w:line="240" w:lineRule="exact"/>
                    <w:ind w:firstLine="0" w:firstLineChars="0"/>
                    <w:jc w:val="center"/>
                    <w:rPr>
                      <w:rFonts w:hint="eastAsia"/>
                      <w:color w:val="auto"/>
                      <w:sz w:val="21"/>
                      <w:szCs w:val="21"/>
                    </w:rPr>
                  </w:pPr>
                  <w:r>
                    <w:rPr>
                      <w:rFonts w:hint="eastAsia"/>
                      <w:b w:val="0"/>
                      <w:bCs w:val="0"/>
                      <w:color w:val="auto"/>
                      <w:sz w:val="21"/>
                      <w:szCs w:val="21"/>
                    </w:rPr>
                    <w:t>间断排放，排放期间流量不稳定且无规律，但不属于冲击型排放</w:t>
                  </w:r>
                </w:p>
              </w:tc>
              <w:tc>
                <w:tcPr>
                  <w:tcW w:w="712" w:type="dxa"/>
                  <w:noWrap w:val="0"/>
                  <w:vAlign w:val="center"/>
                </w:tcPr>
                <w:p>
                  <w:pPr>
                    <w:spacing w:line="240" w:lineRule="exact"/>
                    <w:rPr>
                      <w:rFonts w:hint="default"/>
                      <w:color w:val="auto"/>
                      <w:sz w:val="21"/>
                      <w:szCs w:val="21"/>
                      <w:lang w:val="en-US"/>
                    </w:rPr>
                  </w:pPr>
                  <w:r>
                    <w:rPr>
                      <w:rFonts w:hint="eastAsia"/>
                      <w:sz w:val="21"/>
                      <w:szCs w:val="21"/>
                      <w:lang w:val="en-US" w:eastAsia="zh-CN"/>
                    </w:rPr>
                    <w:t>-</w:t>
                  </w:r>
                </w:p>
              </w:tc>
              <w:tc>
                <w:tcPr>
                  <w:tcW w:w="713" w:type="dxa"/>
                  <w:noWrap w:val="0"/>
                  <w:vAlign w:val="center"/>
                </w:tcPr>
                <w:p>
                  <w:pPr>
                    <w:spacing w:line="240" w:lineRule="exact"/>
                    <w:rPr>
                      <w:rFonts w:hint="eastAsia" w:eastAsia="宋体"/>
                      <w:color w:val="auto"/>
                      <w:sz w:val="21"/>
                      <w:szCs w:val="21"/>
                      <w:lang w:eastAsia="zh-CN"/>
                    </w:rPr>
                  </w:pPr>
                  <w:r>
                    <w:rPr>
                      <w:rFonts w:hint="eastAsia"/>
                      <w:sz w:val="21"/>
                      <w:szCs w:val="21"/>
                      <w:lang w:val="en-US" w:eastAsia="zh-CN"/>
                    </w:rPr>
                    <w:t>-</w:t>
                  </w:r>
                </w:p>
              </w:tc>
              <w:tc>
                <w:tcPr>
                  <w:tcW w:w="714" w:type="dxa"/>
                  <w:noWrap w:val="0"/>
                  <w:vAlign w:val="center"/>
                </w:tcPr>
                <w:p>
                  <w:pPr>
                    <w:spacing w:line="240" w:lineRule="exact"/>
                    <w:rPr>
                      <w:rFonts w:hint="eastAsia" w:eastAsia="宋体"/>
                      <w:color w:val="auto"/>
                      <w:sz w:val="21"/>
                      <w:szCs w:val="21"/>
                      <w:lang w:eastAsia="zh-CN"/>
                    </w:rPr>
                  </w:pPr>
                  <w:r>
                    <w:rPr>
                      <w:rFonts w:hint="eastAsia"/>
                      <w:sz w:val="21"/>
                      <w:szCs w:val="21"/>
                      <w:lang w:val="en-US" w:eastAsia="zh-CN"/>
                    </w:rPr>
                    <w:t>-</w:t>
                  </w:r>
                </w:p>
              </w:tc>
              <w:tc>
                <w:tcPr>
                  <w:tcW w:w="630" w:type="dxa"/>
                  <w:noWrap w:val="0"/>
                  <w:vAlign w:val="center"/>
                </w:tcPr>
                <w:p>
                  <w:pPr>
                    <w:spacing w:line="240" w:lineRule="exact"/>
                    <w:ind w:firstLine="0" w:firstLineChars="0"/>
                    <w:jc w:val="center"/>
                    <w:rPr>
                      <w:rFonts w:hint="eastAsia"/>
                      <w:color w:val="auto"/>
                      <w:sz w:val="21"/>
                      <w:szCs w:val="21"/>
                    </w:rPr>
                  </w:pPr>
                  <w:r>
                    <w:rPr>
                      <w:rFonts w:hint="eastAsia"/>
                      <w:color w:val="auto"/>
                      <w:sz w:val="21"/>
                      <w:szCs w:val="21"/>
                    </w:rPr>
                    <w:t>——</w:t>
                  </w:r>
                </w:p>
              </w:tc>
              <w:tc>
                <w:tcPr>
                  <w:tcW w:w="721" w:type="dxa"/>
                  <w:noWrap w:val="0"/>
                  <w:vAlign w:val="center"/>
                </w:tcPr>
                <w:p>
                  <w:pPr>
                    <w:spacing w:line="240" w:lineRule="exact"/>
                    <w:ind w:firstLine="0" w:firstLineChars="0"/>
                    <w:jc w:val="center"/>
                    <w:rPr>
                      <w:rFonts w:hint="eastAsia"/>
                      <w:color w:val="auto"/>
                      <w:sz w:val="21"/>
                      <w:szCs w:val="21"/>
                    </w:rPr>
                  </w:pPr>
                  <w:r>
                    <w:rPr>
                      <w:color w:val="auto"/>
                      <w:sz w:val="21"/>
                      <w:szCs w:val="21"/>
                    </w:rPr>
                    <w:sym w:font="Wingdings 2" w:char="00A3"/>
                  </w:r>
                  <w:r>
                    <w:rPr>
                      <w:rFonts w:hint="eastAsia"/>
                      <w:color w:val="auto"/>
                      <w:sz w:val="21"/>
                      <w:szCs w:val="21"/>
                    </w:rPr>
                    <w:t>是</w:t>
                  </w:r>
                </w:p>
                <w:p>
                  <w:pPr>
                    <w:spacing w:line="240" w:lineRule="exact"/>
                    <w:ind w:firstLine="0" w:firstLineChars="0"/>
                    <w:jc w:val="center"/>
                    <w:rPr>
                      <w:color w:val="auto"/>
                      <w:sz w:val="21"/>
                      <w:szCs w:val="21"/>
                    </w:rPr>
                  </w:pPr>
                  <w:r>
                    <w:rPr>
                      <w:rFonts w:hint="eastAsia"/>
                      <w:color w:val="auto"/>
                      <w:sz w:val="21"/>
                      <w:szCs w:val="21"/>
                    </w:rPr>
                    <w:sym w:font="Wingdings 2" w:char="00A3"/>
                  </w:r>
                  <w:r>
                    <w:rPr>
                      <w:rFonts w:hint="eastAsia"/>
                      <w:color w:val="auto"/>
                      <w:sz w:val="21"/>
                      <w:szCs w:val="21"/>
                    </w:rPr>
                    <w:t>否</w:t>
                  </w:r>
                </w:p>
              </w:tc>
              <w:tc>
                <w:tcPr>
                  <w:tcW w:w="854" w:type="dxa"/>
                  <w:vMerge w:val="continue"/>
                  <w:noWrap w:val="0"/>
                  <w:vAlign w:val="center"/>
                </w:tcPr>
                <w:p>
                  <w:pPr>
                    <w:spacing w:line="240" w:lineRule="exact"/>
                    <w:ind w:firstLine="0" w:firstLineChars="0"/>
                    <w:jc w:val="center"/>
                    <w:rPr>
                      <w:color w:val="auto"/>
                      <w:sz w:val="21"/>
                      <w:szCs w:val="21"/>
                    </w:rPr>
                  </w:pPr>
                </w:p>
              </w:tc>
            </w:tr>
          </w:tbl>
          <w:p>
            <w:pPr>
              <w:keepNext w:val="0"/>
              <w:keepLines w:val="0"/>
              <w:pageBreakBefore w:val="0"/>
              <w:widowControl w:val="0"/>
              <w:kinsoku/>
              <w:wordWrap/>
              <w:overflowPunct/>
              <w:topLinePunct w:val="0"/>
              <w:bidi w:val="0"/>
              <w:spacing w:line="500" w:lineRule="exact"/>
              <w:ind w:left="0" w:leftChars="0" w:firstLine="482" w:firstLineChars="200"/>
              <w:jc w:val="left"/>
              <w:textAlignment w:val="auto"/>
              <w:rPr>
                <w:rFonts w:cs="Times New Roman"/>
                <w:b/>
                <w:bCs/>
                <w:lang w:val="en-US"/>
              </w:rPr>
            </w:pPr>
            <w:r>
              <w:rPr>
                <w:rFonts w:hint="eastAsia" w:cs="Times New Roman"/>
                <w:b/>
                <w:bCs/>
                <w:lang w:val="en-US" w:eastAsia="zh-CN"/>
              </w:rPr>
              <w:t>3</w:t>
            </w:r>
            <w:r>
              <w:rPr>
                <w:rFonts w:cs="Times New Roman"/>
                <w:b/>
                <w:bCs/>
                <w:lang w:val="en-US"/>
              </w:rPr>
              <w:t>、声环境</w:t>
            </w:r>
          </w:p>
          <w:p>
            <w:pPr>
              <w:pStyle w:val="5"/>
              <w:keepNext w:val="0"/>
              <w:keepLines w:val="0"/>
              <w:pageBreakBefore w:val="0"/>
              <w:widowControl w:val="0"/>
              <w:kinsoku/>
              <w:wordWrap/>
              <w:overflowPunct/>
              <w:topLinePunct w:val="0"/>
              <w:bidi w:val="0"/>
              <w:spacing w:line="500" w:lineRule="exact"/>
              <w:ind w:left="0" w:leftChars="0" w:firstLine="514" w:firstLineChars="200"/>
              <w:jc w:val="left"/>
              <w:textAlignment w:val="auto"/>
              <w:rPr>
                <w:rFonts w:eastAsia="宋体" w:cs="Times New Roman"/>
                <w:b/>
                <w:bCs/>
                <w:lang w:val="en-US"/>
              </w:rPr>
            </w:pPr>
            <w:r>
              <w:rPr>
                <w:rFonts w:hint="eastAsia" w:eastAsia="宋体" w:cs="Times New Roman"/>
                <w:b/>
                <w:bCs/>
                <w:lang w:val="en-US" w:eastAsia="zh-CN"/>
              </w:rPr>
              <w:t>3</w:t>
            </w:r>
            <w:r>
              <w:rPr>
                <w:rFonts w:eastAsia="宋体" w:cs="Times New Roman"/>
                <w:b/>
                <w:bCs/>
                <w:lang w:val="en-US"/>
              </w:rPr>
              <w:t>.1噪声源强及降噪措施</w:t>
            </w:r>
          </w:p>
          <w:p>
            <w:pPr>
              <w:keepNext w:val="0"/>
              <w:keepLines w:val="0"/>
              <w:pageBreakBefore w:val="0"/>
              <w:widowControl w:val="0"/>
              <w:kinsoku/>
              <w:wordWrap/>
              <w:overflowPunct/>
              <w:topLinePunct w:val="0"/>
              <w:bidi w:val="0"/>
              <w:spacing w:line="500" w:lineRule="exact"/>
              <w:ind w:left="0" w:leftChars="0" w:firstLine="480" w:firstLineChars="200"/>
              <w:jc w:val="left"/>
              <w:textAlignment w:val="auto"/>
              <w:rPr>
                <w:color w:val="auto"/>
              </w:rPr>
            </w:pPr>
            <w:r>
              <w:rPr>
                <w:rFonts w:hint="eastAsia"/>
              </w:rPr>
              <w:t>本项目主</w:t>
            </w:r>
            <w:r>
              <w:rPr>
                <w:rFonts w:hint="eastAsia"/>
                <w:color w:val="auto"/>
              </w:rPr>
              <w:t>要噪声源为</w:t>
            </w:r>
            <w:r>
              <w:rPr>
                <w:rFonts w:hint="eastAsia"/>
                <w:color w:val="auto"/>
                <w:lang w:eastAsia="zh-CN"/>
              </w:rPr>
              <w:t>给料机、颚式破碎机、重锤式破碎机、振动筛</w:t>
            </w:r>
            <w:r>
              <w:rPr>
                <w:rFonts w:cs="Times New Roman"/>
                <w:color w:val="auto"/>
                <w:szCs w:val="32"/>
              </w:rPr>
              <w:t>等设备</w:t>
            </w:r>
            <w:r>
              <w:rPr>
                <w:rFonts w:hint="eastAsia" w:cs="Times New Roman"/>
                <w:color w:val="auto"/>
                <w:szCs w:val="32"/>
              </w:rPr>
              <w:t>，</w:t>
            </w:r>
            <w:r>
              <w:rPr>
                <w:rFonts w:cs="Times New Roman"/>
                <w:color w:val="auto"/>
                <w:kern w:val="24"/>
              </w:rPr>
              <w:t>噪声源强为</w:t>
            </w:r>
            <w:r>
              <w:rPr>
                <w:rFonts w:hint="eastAsia" w:cs="Times New Roman"/>
                <w:color w:val="auto"/>
                <w:kern w:val="24"/>
                <w:lang w:val="en-US" w:eastAsia="zh-CN"/>
              </w:rPr>
              <w:t>75</w:t>
            </w:r>
            <w:r>
              <w:rPr>
                <w:rFonts w:hint="eastAsia" w:cs="Times New Roman"/>
                <w:color w:val="auto"/>
                <w:kern w:val="24"/>
                <w:lang w:val="en-US"/>
              </w:rPr>
              <w:t>~</w:t>
            </w:r>
            <w:r>
              <w:rPr>
                <w:rFonts w:hint="eastAsia" w:cs="Times New Roman"/>
                <w:color w:val="auto"/>
                <w:kern w:val="24"/>
                <w:lang w:val="en-US" w:eastAsia="zh-CN"/>
              </w:rPr>
              <w:t>90</w:t>
            </w:r>
            <w:r>
              <w:rPr>
                <w:rFonts w:cs="Times New Roman"/>
                <w:color w:val="auto"/>
                <w:kern w:val="24"/>
              </w:rPr>
              <w:t>dB（A）</w:t>
            </w:r>
            <w:r>
              <w:rPr>
                <w:rFonts w:hint="eastAsia" w:cs="Times New Roman"/>
                <w:color w:val="auto"/>
                <w:szCs w:val="32"/>
              </w:rPr>
              <w:t>。</w:t>
            </w:r>
            <w:r>
              <w:rPr>
                <w:rFonts w:hint="eastAsia"/>
                <w:color w:val="auto"/>
              </w:rPr>
              <w:t>运输噪声源于车辆噪声</w:t>
            </w:r>
            <w:r>
              <w:rPr>
                <w:color w:val="auto"/>
              </w:rPr>
              <w:t>，噪声源强</w:t>
            </w:r>
            <w:r>
              <w:rPr>
                <w:rFonts w:hint="eastAsia"/>
                <w:color w:val="auto"/>
              </w:rPr>
              <w:t>一般</w:t>
            </w:r>
            <w:r>
              <w:rPr>
                <w:color w:val="auto"/>
              </w:rPr>
              <w:t>为</w:t>
            </w:r>
            <w:r>
              <w:rPr>
                <w:rFonts w:hint="eastAsia"/>
                <w:color w:val="auto"/>
                <w:lang w:val="en-US" w:eastAsia="zh-CN"/>
              </w:rPr>
              <w:t>65</w:t>
            </w:r>
            <w:r>
              <w:rPr>
                <w:rFonts w:hint="eastAsia"/>
                <w:color w:val="auto"/>
                <w:lang w:val="en-US"/>
              </w:rPr>
              <w:t>~85</w:t>
            </w:r>
            <w:r>
              <w:rPr>
                <w:color w:val="auto"/>
              </w:rPr>
              <w:t>dB（A）。建设单位拟采取的治理措施如下：</w:t>
            </w:r>
          </w:p>
          <w:p>
            <w:pPr>
              <w:keepNext w:val="0"/>
              <w:keepLines w:val="0"/>
              <w:pageBreakBefore w:val="0"/>
              <w:widowControl w:val="0"/>
              <w:kinsoku/>
              <w:wordWrap/>
              <w:overflowPunct/>
              <w:topLinePunct w:val="0"/>
              <w:autoSpaceDE/>
              <w:autoSpaceDN/>
              <w:bidi w:val="0"/>
              <w:spacing w:line="500" w:lineRule="exact"/>
              <w:ind w:firstLine="520" w:firstLineChars="200"/>
              <w:jc w:val="left"/>
              <w:textAlignment w:val="auto"/>
              <w:rPr>
                <w:rFonts w:cs="Times New Roman"/>
                <w:color w:val="auto"/>
                <w:spacing w:val="10"/>
              </w:rPr>
            </w:pPr>
            <w:r>
              <w:rPr>
                <w:rFonts w:hint="eastAsia" w:cs="Times New Roman"/>
                <w:color w:val="auto"/>
                <w:spacing w:val="10"/>
              </w:rPr>
              <w:t>①</w:t>
            </w:r>
            <w:r>
              <w:rPr>
                <w:rFonts w:cs="Times New Roman"/>
                <w:color w:val="auto"/>
                <w:spacing w:val="10"/>
              </w:rPr>
              <w:t>设备选型时，选用低噪声设备；</w:t>
            </w:r>
          </w:p>
          <w:p>
            <w:pPr>
              <w:keepNext w:val="0"/>
              <w:keepLines w:val="0"/>
              <w:pageBreakBefore w:val="0"/>
              <w:widowControl w:val="0"/>
              <w:kinsoku/>
              <w:wordWrap/>
              <w:overflowPunct/>
              <w:topLinePunct w:val="0"/>
              <w:autoSpaceDE/>
              <w:autoSpaceDN/>
              <w:bidi w:val="0"/>
              <w:spacing w:line="500" w:lineRule="exact"/>
              <w:ind w:firstLine="520" w:firstLineChars="200"/>
              <w:jc w:val="left"/>
              <w:textAlignment w:val="auto"/>
              <w:rPr>
                <w:rFonts w:cs="Times New Roman"/>
                <w:color w:val="auto"/>
              </w:rPr>
            </w:pPr>
            <w:r>
              <w:rPr>
                <w:rFonts w:hint="eastAsia" w:cs="Times New Roman"/>
                <w:color w:val="auto"/>
                <w:spacing w:val="10"/>
              </w:rPr>
              <w:t>②</w:t>
            </w:r>
            <w:r>
              <w:rPr>
                <w:rFonts w:cs="Times New Roman"/>
                <w:color w:val="auto"/>
                <w:spacing w:val="10"/>
              </w:rPr>
              <w:t>增加基础</w:t>
            </w:r>
            <w:r>
              <w:rPr>
                <w:rFonts w:hint="eastAsia" w:cs="Times New Roman"/>
                <w:color w:val="auto"/>
                <w:spacing w:val="10"/>
              </w:rPr>
              <w:t>减振</w:t>
            </w:r>
            <w:r>
              <w:rPr>
                <w:rFonts w:cs="Times New Roman"/>
                <w:color w:val="auto"/>
                <w:spacing w:val="10"/>
              </w:rPr>
              <w:t>垫：</w:t>
            </w:r>
            <w:r>
              <w:rPr>
                <w:rFonts w:hint="eastAsia"/>
                <w:color w:val="auto"/>
                <w:lang w:eastAsia="zh-CN"/>
              </w:rPr>
              <w:t>给料机、颚式破碎机、重锤式破碎机、振动筛</w:t>
            </w:r>
            <w:r>
              <w:rPr>
                <w:rFonts w:cs="Times New Roman"/>
                <w:color w:val="auto"/>
              </w:rPr>
              <w:t>等设备增加基础</w:t>
            </w:r>
            <w:r>
              <w:rPr>
                <w:rFonts w:hint="eastAsia" w:cs="Times New Roman"/>
                <w:color w:val="auto"/>
              </w:rPr>
              <w:t>减振</w:t>
            </w:r>
            <w:r>
              <w:rPr>
                <w:rFonts w:cs="Times New Roman"/>
                <w:color w:val="auto"/>
              </w:rPr>
              <w:t>垫；</w:t>
            </w:r>
          </w:p>
          <w:p>
            <w:pPr>
              <w:keepNext w:val="0"/>
              <w:keepLines w:val="0"/>
              <w:pageBreakBefore w:val="0"/>
              <w:widowControl w:val="0"/>
              <w:kinsoku/>
              <w:wordWrap/>
              <w:overflowPunct/>
              <w:topLinePunct w:val="0"/>
              <w:bidi w:val="0"/>
              <w:spacing w:line="500" w:lineRule="exact"/>
              <w:ind w:firstLine="480" w:firstLineChars="200"/>
              <w:jc w:val="left"/>
              <w:textAlignment w:val="auto"/>
              <w:rPr>
                <w:lang w:val="en-US"/>
              </w:rPr>
            </w:pPr>
            <w:r>
              <w:rPr>
                <w:rFonts w:hint="eastAsia" w:cs="Times New Roman"/>
              </w:rPr>
              <w:t>③加强管理，</w:t>
            </w:r>
            <w:r>
              <w:rPr>
                <w:rFonts w:hint="eastAsia"/>
              </w:rPr>
              <w:t>定期检修老化机器设备。</w:t>
            </w:r>
          </w:p>
          <w:p>
            <w:pPr>
              <w:keepNext w:val="0"/>
              <w:keepLines w:val="0"/>
              <w:pageBreakBefore w:val="0"/>
              <w:widowControl w:val="0"/>
              <w:kinsoku/>
              <w:wordWrap/>
              <w:overflowPunct/>
              <w:topLinePunct w:val="0"/>
              <w:autoSpaceDE/>
              <w:autoSpaceDN/>
              <w:bidi w:val="0"/>
              <w:spacing w:line="500" w:lineRule="exact"/>
              <w:ind w:left="0" w:leftChars="0" w:firstLine="520" w:firstLineChars="200"/>
              <w:jc w:val="left"/>
              <w:textAlignment w:val="auto"/>
              <w:rPr>
                <w:rFonts w:cs="Times New Roman"/>
              </w:rPr>
            </w:pPr>
            <w:r>
              <w:rPr>
                <w:rFonts w:cs="Times New Roman"/>
                <w:spacing w:val="10"/>
              </w:rPr>
              <w:t>采取上述措施后，可综合降噪</w:t>
            </w:r>
            <w:r>
              <w:rPr>
                <w:rFonts w:hint="eastAsia" w:cs="Times New Roman"/>
                <w:spacing w:val="10"/>
                <w:lang w:val="en-US"/>
              </w:rPr>
              <w:t>10</w:t>
            </w:r>
            <w:r>
              <w:rPr>
                <w:rFonts w:cs="Times New Roman"/>
                <w:kern w:val="24"/>
              </w:rPr>
              <w:t>dB（A）</w:t>
            </w:r>
            <w:r>
              <w:rPr>
                <w:rFonts w:hint="eastAsia" w:cs="Times New Roman"/>
                <w:kern w:val="24"/>
              </w:rPr>
              <w:t>以上</w:t>
            </w:r>
            <w:r>
              <w:rPr>
                <w:rFonts w:cs="Times New Roma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cs="Times New Roman"/>
                <w:b/>
                <w:bCs/>
                <w:sz w:val="21"/>
                <w:szCs w:val="21"/>
              </w:rPr>
            </w:pPr>
            <w:r>
              <w:rPr>
                <w:rFonts w:cs="Times New Roman"/>
                <w:b/>
                <w:bCs/>
                <w:sz w:val="21"/>
                <w:szCs w:val="21"/>
              </w:rPr>
              <w:t>表</w:t>
            </w:r>
            <w:r>
              <w:rPr>
                <w:rFonts w:hint="eastAsia" w:cs="Times New Roman"/>
                <w:b/>
                <w:bCs/>
                <w:sz w:val="21"/>
                <w:szCs w:val="21"/>
                <w:lang w:val="en-US"/>
              </w:rPr>
              <w:t>4</w:t>
            </w:r>
            <w:r>
              <w:rPr>
                <w:rFonts w:hint="eastAsia" w:cs="Times New Roman"/>
                <w:b/>
                <w:bCs/>
                <w:sz w:val="21"/>
                <w:szCs w:val="21"/>
                <w:lang w:val="en-US" w:eastAsia="zh-CN"/>
              </w:rPr>
              <w:t>-13</w:t>
            </w:r>
            <w:r>
              <w:rPr>
                <w:rFonts w:cs="Times New Roman"/>
                <w:b/>
                <w:bCs/>
                <w:sz w:val="21"/>
                <w:szCs w:val="21"/>
              </w:rPr>
              <w:t>噪声污染源强及治理</w:t>
            </w:r>
            <w:r>
              <w:rPr>
                <w:rFonts w:hint="eastAsia" w:cs="Times New Roman"/>
                <w:b/>
                <w:bCs/>
                <w:sz w:val="21"/>
                <w:szCs w:val="21"/>
              </w:rPr>
              <w:t>后声级</w:t>
            </w:r>
            <w:r>
              <w:rPr>
                <w:rFonts w:cs="Times New Roman"/>
                <w:b/>
                <w:bCs/>
                <w:sz w:val="21"/>
                <w:szCs w:val="21"/>
              </w:rPr>
              <w:t>表</w:t>
            </w:r>
          </w:p>
          <w:tbl>
            <w:tblPr>
              <w:tblStyle w:val="15"/>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1604"/>
              <w:gridCol w:w="2023"/>
              <w:gridCol w:w="27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81" w:type="dxa"/>
                  <w:vAlign w:val="center"/>
                </w:tcPr>
                <w:p>
                  <w:pPr>
                    <w:spacing w:line="240" w:lineRule="exact"/>
                    <w:rPr>
                      <w:rFonts w:cs="Times New Roman"/>
                      <w:b/>
                      <w:bCs/>
                      <w:color w:val="auto"/>
                      <w:sz w:val="21"/>
                      <w:szCs w:val="21"/>
                    </w:rPr>
                  </w:pPr>
                  <w:r>
                    <w:rPr>
                      <w:rFonts w:cs="Times New Roman"/>
                      <w:b/>
                      <w:bCs/>
                      <w:color w:val="auto"/>
                      <w:sz w:val="21"/>
                      <w:szCs w:val="21"/>
                    </w:rPr>
                    <w:t>噪声源</w:t>
                  </w:r>
                </w:p>
              </w:tc>
              <w:tc>
                <w:tcPr>
                  <w:tcW w:w="1604" w:type="dxa"/>
                  <w:vAlign w:val="center"/>
                </w:tcPr>
                <w:p>
                  <w:pPr>
                    <w:adjustRightInd w:val="0"/>
                    <w:snapToGrid w:val="0"/>
                    <w:spacing w:line="240" w:lineRule="exact"/>
                    <w:rPr>
                      <w:rFonts w:cs="Times New Roman"/>
                      <w:b/>
                      <w:bCs/>
                      <w:color w:val="auto"/>
                      <w:sz w:val="21"/>
                      <w:szCs w:val="21"/>
                    </w:rPr>
                  </w:pPr>
                  <w:r>
                    <w:rPr>
                      <w:rFonts w:cs="Times New Roman"/>
                      <w:b/>
                      <w:bCs/>
                      <w:color w:val="auto"/>
                      <w:sz w:val="21"/>
                      <w:szCs w:val="21"/>
                    </w:rPr>
                    <w:t>源强/dB（A）</w:t>
                  </w:r>
                </w:p>
              </w:tc>
              <w:tc>
                <w:tcPr>
                  <w:tcW w:w="2023" w:type="dxa"/>
                  <w:vAlign w:val="center"/>
                </w:tcPr>
                <w:p>
                  <w:pPr>
                    <w:spacing w:line="240" w:lineRule="exact"/>
                    <w:rPr>
                      <w:rFonts w:cs="Times New Roman"/>
                      <w:b/>
                      <w:bCs/>
                      <w:color w:val="auto"/>
                      <w:sz w:val="21"/>
                      <w:szCs w:val="21"/>
                    </w:rPr>
                  </w:pPr>
                  <w:r>
                    <w:rPr>
                      <w:rFonts w:cs="Times New Roman"/>
                      <w:b/>
                      <w:bCs/>
                      <w:color w:val="auto"/>
                      <w:sz w:val="21"/>
                      <w:szCs w:val="21"/>
                    </w:rPr>
                    <w:t>数量（台、套）</w:t>
                  </w:r>
                </w:p>
              </w:tc>
              <w:tc>
                <w:tcPr>
                  <w:tcW w:w="2710" w:type="dxa"/>
                  <w:vAlign w:val="center"/>
                </w:tcPr>
                <w:p>
                  <w:pPr>
                    <w:spacing w:line="240" w:lineRule="exact"/>
                    <w:rPr>
                      <w:rFonts w:cs="Times New Roman"/>
                      <w:b/>
                      <w:bCs/>
                      <w:color w:val="auto"/>
                      <w:sz w:val="21"/>
                      <w:szCs w:val="21"/>
                    </w:rPr>
                  </w:pPr>
                  <w:r>
                    <w:rPr>
                      <w:rFonts w:hint="eastAsia" w:cs="Times New Roman"/>
                      <w:b/>
                      <w:bCs/>
                      <w:color w:val="auto"/>
                      <w:sz w:val="21"/>
                      <w:szCs w:val="21"/>
                    </w:rPr>
                    <w:t>治理后声级</w:t>
                  </w:r>
                  <w:r>
                    <w:rPr>
                      <w:rFonts w:cs="Times New Roman"/>
                      <w:b/>
                      <w:bCs/>
                      <w:color w:val="auto"/>
                      <w:sz w:val="21"/>
                      <w:szCs w:val="21"/>
                    </w:rPr>
                    <w:t>/dB（A）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681" w:type="dxa"/>
                  <w:vAlign w:val="center"/>
                </w:tcPr>
                <w:p>
                  <w:pPr>
                    <w:autoSpaceDE/>
                    <w:autoSpaceDN/>
                    <w:spacing w:line="240" w:lineRule="auto"/>
                    <w:rPr>
                      <w:rFonts w:hint="eastAsia" w:eastAsia="宋体" w:cs="Times New Roman"/>
                      <w:color w:val="auto"/>
                      <w:sz w:val="21"/>
                      <w:szCs w:val="21"/>
                      <w:lang w:eastAsia="zh-CN"/>
                    </w:rPr>
                  </w:pPr>
                  <w:r>
                    <w:rPr>
                      <w:rFonts w:hint="eastAsia" w:cs="Times New Roman"/>
                      <w:color w:val="auto"/>
                      <w:sz w:val="21"/>
                      <w:szCs w:val="21"/>
                      <w:lang w:eastAsia="zh-CN"/>
                    </w:rPr>
                    <w:t>给料机</w:t>
                  </w:r>
                </w:p>
              </w:tc>
              <w:tc>
                <w:tcPr>
                  <w:tcW w:w="1604" w:type="dxa"/>
                  <w:vAlign w:val="center"/>
                </w:tcPr>
                <w:p>
                  <w:pPr>
                    <w:autoSpaceDE/>
                    <w:autoSpaceDN/>
                    <w:spacing w:line="240" w:lineRule="auto"/>
                    <w:rPr>
                      <w:rFonts w:hint="default" w:eastAsia="宋体" w:cs="Times New Roman"/>
                      <w:color w:val="auto"/>
                      <w:sz w:val="21"/>
                      <w:szCs w:val="21"/>
                      <w:lang w:val="en-US" w:eastAsia="zh-CN"/>
                    </w:rPr>
                  </w:pPr>
                  <w:r>
                    <w:rPr>
                      <w:rFonts w:hint="eastAsia" w:cs="Times New Roman"/>
                      <w:color w:val="auto"/>
                      <w:sz w:val="21"/>
                      <w:szCs w:val="21"/>
                      <w:lang w:val="en-US" w:eastAsia="zh-CN"/>
                    </w:rPr>
                    <w:t>75</w:t>
                  </w:r>
                </w:p>
              </w:tc>
              <w:tc>
                <w:tcPr>
                  <w:tcW w:w="2023" w:type="dxa"/>
                  <w:vAlign w:val="center"/>
                </w:tcPr>
                <w:p>
                  <w:pPr>
                    <w:autoSpaceDE/>
                    <w:autoSpaceDN/>
                    <w:spacing w:line="240" w:lineRule="exact"/>
                    <w:rPr>
                      <w:rFonts w:hint="eastAsia" w:eastAsia="宋体" w:cs="Times New Roman"/>
                      <w:color w:val="auto"/>
                      <w:sz w:val="21"/>
                      <w:szCs w:val="21"/>
                      <w:lang w:val="en-US" w:eastAsia="zh-CN"/>
                    </w:rPr>
                  </w:pPr>
                  <w:r>
                    <w:rPr>
                      <w:rFonts w:hint="eastAsia" w:cs="Times New Roman"/>
                      <w:color w:val="auto"/>
                      <w:sz w:val="21"/>
                      <w:szCs w:val="21"/>
                      <w:lang w:val="en-US" w:eastAsia="zh-CN"/>
                    </w:rPr>
                    <w:t>1</w:t>
                  </w:r>
                </w:p>
              </w:tc>
              <w:tc>
                <w:tcPr>
                  <w:tcW w:w="2710" w:type="dxa"/>
                  <w:vAlign w:val="center"/>
                </w:tcPr>
                <w:p>
                  <w:pPr>
                    <w:spacing w:line="240" w:lineRule="exact"/>
                    <w:rPr>
                      <w:rFonts w:hint="default" w:eastAsia="宋体" w:cs="Times New Roman"/>
                      <w:color w:val="auto"/>
                      <w:spacing w:val="10"/>
                      <w:sz w:val="21"/>
                      <w:szCs w:val="21"/>
                      <w:lang w:val="en-US" w:eastAsia="zh-CN"/>
                    </w:rPr>
                  </w:pPr>
                  <w:r>
                    <w:rPr>
                      <w:rFonts w:hint="eastAsia" w:cs="Times New Roman"/>
                      <w:color w:val="auto"/>
                      <w:spacing w:val="10"/>
                      <w:sz w:val="21"/>
                      <w:szCs w:val="21"/>
                      <w:lang w:val="en-US" w:eastAsia="zh-CN"/>
                    </w:rPr>
                    <w:t>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681" w:type="dxa"/>
                  <w:vAlign w:val="center"/>
                </w:tcPr>
                <w:p>
                  <w:pPr>
                    <w:autoSpaceDE/>
                    <w:autoSpaceDN/>
                    <w:spacing w:line="240" w:lineRule="auto"/>
                    <w:rPr>
                      <w:rFonts w:hint="eastAsia" w:eastAsia="宋体" w:cs="Times New Roman"/>
                      <w:color w:val="auto"/>
                      <w:sz w:val="21"/>
                      <w:szCs w:val="21"/>
                      <w:lang w:eastAsia="zh-CN"/>
                    </w:rPr>
                  </w:pPr>
                  <w:r>
                    <w:rPr>
                      <w:rFonts w:hint="eastAsia" w:cs="Times New Roman"/>
                      <w:color w:val="auto"/>
                      <w:sz w:val="21"/>
                      <w:szCs w:val="21"/>
                      <w:lang w:eastAsia="zh-CN"/>
                    </w:rPr>
                    <w:t>颚式破碎机</w:t>
                  </w:r>
                </w:p>
              </w:tc>
              <w:tc>
                <w:tcPr>
                  <w:tcW w:w="1604" w:type="dxa"/>
                  <w:vAlign w:val="center"/>
                </w:tcPr>
                <w:p>
                  <w:pPr>
                    <w:autoSpaceDE/>
                    <w:autoSpaceDN/>
                    <w:spacing w:line="240" w:lineRule="auto"/>
                    <w:rPr>
                      <w:rFonts w:hint="default" w:cs="Times New Roman"/>
                      <w:color w:val="auto"/>
                      <w:sz w:val="21"/>
                      <w:szCs w:val="21"/>
                      <w:lang w:val="en-US" w:eastAsia="zh-CN"/>
                    </w:rPr>
                  </w:pPr>
                  <w:r>
                    <w:rPr>
                      <w:rFonts w:hint="eastAsia" w:cs="Times New Roman"/>
                      <w:color w:val="auto"/>
                      <w:sz w:val="21"/>
                      <w:szCs w:val="21"/>
                      <w:lang w:val="en-US" w:eastAsia="zh-CN"/>
                    </w:rPr>
                    <w:t>90</w:t>
                  </w:r>
                </w:p>
              </w:tc>
              <w:tc>
                <w:tcPr>
                  <w:tcW w:w="2023" w:type="dxa"/>
                  <w:vAlign w:val="center"/>
                </w:tcPr>
                <w:p>
                  <w:pPr>
                    <w:autoSpaceDE/>
                    <w:autoSpaceDN/>
                    <w:spacing w:line="240" w:lineRule="exact"/>
                    <w:rPr>
                      <w:rFonts w:hint="eastAsia" w:eastAsia="宋体" w:cs="Times New Roman"/>
                      <w:color w:val="auto"/>
                      <w:sz w:val="21"/>
                      <w:szCs w:val="21"/>
                      <w:lang w:val="en-US" w:eastAsia="zh-CN"/>
                    </w:rPr>
                  </w:pPr>
                  <w:r>
                    <w:rPr>
                      <w:rFonts w:hint="eastAsia" w:cs="Times New Roman"/>
                      <w:color w:val="auto"/>
                      <w:sz w:val="21"/>
                      <w:szCs w:val="21"/>
                      <w:lang w:val="en-US" w:eastAsia="zh-CN"/>
                    </w:rPr>
                    <w:t>1</w:t>
                  </w:r>
                </w:p>
              </w:tc>
              <w:tc>
                <w:tcPr>
                  <w:tcW w:w="2710" w:type="dxa"/>
                  <w:vAlign w:val="center"/>
                </w:tcPr>
                <w:p>
                  <w:pPr>
                    <w:spacing w:line="240" w:lineRule="exact"/>
                    <w:rPr>
                      <w:rFonts w:hint="default" w:cs="Times New Roman"/>
                      <w:color w:val="auto"/>
                      <w:spacing w:val="10"/>
                      <w:sz w:val="21"/>
                      <w:szCs w:val="21"/>
                      <w:lang w:val="en-US" w:eastAsia="zh-CN"/>
                    </w:rPr>
                  </w:pPr>
                  <w:r>
                    <w:rPr>
                      <w:rFonts w:hint="eastAsia" w:cs="Times New Roman"/>
                      <w:color w:val="auto"/>
                      <w:spacing w:val="10"/>
                      <w:sz w:val="21"/>
                      <w:szCs w:val="21"/>
                      <w:lang w:val="en-US" w:eastAsia="zh-CN"/>
                    </w:rPr>
                    <w:t>80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681" w:type="dxa"/>
                  <w:vAlign w:val="center"/>
                </w:tcPr>
                <w:p>
                  <w:pPr>
                    <w:autoSpaceDE/>
                    <w:autoSpaceDN/>
                    <w:spacing w:line="240" w:lineRule="auto"/>
                    <w:rPr>
                      <w:rFonts w:hint="eastAsia" w:eastAsia="宋体" w:cs="Times New Roman"/>
                      <w:color w:val="auto"/>
                      <w:sz w:val="21"/>
                      <w:szCs w:val="21"/>
                      <w:lang w:eastAsia="zh-CN"/>
                    </w:rPr>
                  </w:pPr>
                  <w:r>
                    <w:rPr>
                      <w:rFonts w:hint="eastAsia" w:cs="Times New Roman"/>
                      <w:color w:val="auto"/>
                      <w:sz w:val="21"/>
                      <w:szCs w:val="21"/>
                      <w:lang w:eastAsia="zh-CN"/>
                    </w:rPr>
                    <w:t>重锤式破碎机</w:t>
                  </w:r>
                </w:p>
              </w:tc>
              <w:tc>
                <w:tcPr>
                  <w:tcW w:w="1604" w:type="dxa"/>
                  <w:vAlign w:val="center"/>
                </w:tcPr>
                <w:p>
                  <w:pPr>
                    <w:autoSpaceDE/>
                    <w:autoSpaceDN/>
                    <w:spacing w:line="240" w:lineRule="auto"/>
                    <w:rPr>
                      <w:rFonts w:hint="default" w:cs="Times New Roman"/>
                      <w:color w:val="auto"/>
                      <w:sz w:val="21"/>
                      <w:szCs w:val="21"/>
                      <w:lang w:val="en-US" w:eastAsia="zh-CN"/>
                    </w:rPr>
                  </w:pPr>
                  <w:r>
                    <w:rPr>
                      <w:rFonts w:hint="eastAsia" w:cs="Times New Roman"/>
                      <w:color w:val="auto"/>
                      <w:sz w:val="21"/>
                      <w:szCs w:val="21"/>
                      <w:lang w:val="en-US" w:eastAsia="zh-CN"/>
                    </w:rPr>
                    <w:t>90</w:t>
                  </w:r>
                </w:p>
              </w:tc>
              <w:tc>
                <w:tcPr>
                  <w:tcW w:w="2023" w:type="dxa"/>
                  <w:vAlign w:val="center"/>
                </w:tcPr>
                <w:p>
                  <w:pPr>
                    <w:autoSpaceDE/>
                    <w:autoSpaceDN/>
                    <w:spacing w:line="240" w:lineRule="exact"/>
                    <w:rPr>
                      <w:rFonts w:hint="eastAsia" w:eastAsia="宋体" w:cs="Times New Roman"/>
                      <w:color w:val="auto"/>
                      <w:sz w:val="21"/>
                      <w:szCs w:val="21"/>
                      <w:lang w:val="en-US" w:eastAsia="zh-CN"/>
                    </w:rPr>
                  </w:pPr>
                  <w:r>
                    <w:rPr>
                      <w:rFonts w:hint="eastAsia" w:cs="Times New Roman"/>
                      <w:color w:val="auto"/>
                      <w:sz w:val="21"/>
                      <w:szCs w:val="21"/>
                      <w:lang w:val="en-US" w:eastAsia="zh-CN"/>
                    </w:rPr>
                    <w:t>1</w:t>
                  </w:r>
                </w:p>
              </w:tc>
              <w:tc>
                <w:tcPr>
                  <w:tcW w:w="2710" w:type="dxa"/>
                  <w:vAlign w:val="center"/>
                </w:tcPr>
                <w:p>
                  <w:pPr>
                    <w:spacing w:line="240" w:lineRule="exact"/>
                    <w:rPr>
                      <w:rFonts w:hint="default" w:cs="Times New Roman"/>
                      <w:color w:val="auto"/>
                      <w:spacing w:val="10"/>
                      <w:sz w:val="21"/>
                      <w:szCs w:val="21"/>
                      <w:lang w:val="en-US" w:eastAsia="zh-CN"/>
                    </w:rPr>
                  </w:pPr>
                  <w:r>
                    <w:rPr>
                      <w:rFonts w:hint="eastAsia" w:cs="Times New Roman"/>
                      <w:color w:val="auto"/>
                      <w:spacing w:val="10"/>
                      <w:sz w:val="21"/>
                      <w:szCs w:val="21"/>
                      <w:lang w:val="en-US" w:eastAsia="zh-CN"/>
                    </w:rPr>
                    <w:t>80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681" w:type="dxa"/>
                  <w:vAlign w:val="center"/>
                </w:tcPr>
                <w:p>
                  <w:pPr>
                    <w:autoSpaceDE/>
                    <w:autoSpaceDN/>
                    <w:spacing w:line="240" w:lineRule="auto"/>
                    <w:rPr>
                      <w:rFonts w:hint="eastAsia" w:eastAsia="宋体" w:cs="Times New Roman"/>
                      <w:color w:val="auto"/>
                      <w:sz w:val="21"/>
                      <w:szCs w:val="21"/>
                      <w:lang w:eastAsia="zh-CN"/>
                    </w:rPr>
                  </w:pPr>
                  <w:r>
                    <w:rPr>
                      <w:rFonts w:hint="eastAsia" w:cs="Times New Roman"/>
                      <w:color w:val="auto"/>
                      <w:sz w:val="21"/>
                      <w:szCs w:val="21"/>
                      <w:lang w:eastAsia="zh-CN"/>
                    </w:rPr>
                    <w:t>振动筛</w:t>
                  </w:r>
                </w:p>
              </w:tc>
              <w:tc>
                <w:tcPr>
                  <w:tcW w:w="1604" w:type="dxa"/>
                  <w:vAlign w:val="center"/>
                </w:tcPr>
                <w:p>
                  <w:pPr>
                    <w:autoSpaceDE/>
                    <w:autoSpaceDN/>
                    <w:spacing w:line="240" w:lineRule="auto"/>
                    <w:rPr>
                      <w:rFonts w:hint="eastAsia" w:cs="Times New Roman"/>
                      <w:color w:val="auto"/>
                      <w:sz w:val="21"/>
                      <w:szCs w:val="21"/>
                      <w:lang w:val="en-US" w:eastAsia="zh-CN"/>
                    </w:rPr>
                  </w:pPr>
                  <w:r>
                    <w:rPr>
                      <w:rFonts w:hint="eastAsia" w:cs="Times New Roman"/>
                      <w:color w:val="auto"/>
                      <w:sz w:val="21"/>
                      <w:szCs w:val="21"/>
                      <w:lang w:val="en-US" w:eastAsia="zh-CN"/>
                    </w:rPr>
                    <w:t>80</w:t>
                  </w:r>
                </w:p>
              </w:tc>
              <w:tc>
                <w:tcPr>
                  <w:tcW w:w="2023" w:type="dxa"/>
                  <w:vAlign w:val="center"/>
                </w:tcPr>
                <w:p>
                  <w:pPr>
                    <w:autoSpaceDE/>
                    <w:autoSpaceDN/>
                    <w:spacing w:line="240" w:lineRule="exact"/>
                    <w:rPr>
                      <w:rFonts w:hint="eastAsia" w:eastAsia="宋体" w:cs="Times New Roman"/>
                      <w:color w:val="auto"/>
                      <w:sz w:val="21"/>
                      <w:szCs w:val="21"/>
                      <w:lang w:val="en-US" w:eastAsia="zh-CN"/>
                    </w:rPr>
                  </w:pPr>
                  <w:r>
                    <w:rPr>
                      <w:rFonts w:hint="eastAsia" w:cs="Times New Roman"/>
                      <w:color w:val="auto"/>
                      <w:sz w:val="21"/>
                      <w:szCs w:val="21"/>
                      <w:lang w:val="en-US" w:eastAsia="zh-CN"/>
                    </w:rPr>
                    <w:t>2</w:t>
                  </w:r>
                </w:p>
              </w:tc>
              <w:tc>
                <w:tcPr>
                  <w:tcW w:w="2710" w:type="dxa"/>
                  <w:vAlign w:val="center"/>
                </w:tcPr>
                <w:p>
                  <w:pPr>
                    <w:spacing w:line="240" w:lineRule="exact"/>
                    <w:rPr>
                      <w:rFonts w:hint="default" w:cs="Times New Roman"/>
                      <w:color w:val="auto"/>
                      <w:spacing w:val="10"/>
                      <w:sz w:val="21"/>
                      <w:szCs w:val="21"/>
                      <w:lang w:val="en-US" w:eastAsia="zh-CN"/>
                    </w:rPr>
                  </w:pPr>
                  <w:r>
                    <w:rPr>
                      <w:rFonts w:hint="eastAsia" w:cs="Times New Roman"/>
                      <w:color w:val="auto"/>
                      <w:spacing w:val="10"/>
                      <w:sz w:val="21"/>
                      <w:szCs w:val="21"/>
                      <w:lang w:val="en-US" w:eastAsia="zh-CN"/>
                    </w:rPr>
                    <w:t>70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81" w:type="dxa"/>
                  <w:vAlign w:val="center"/>
                </w:tcPr>
                <w:p>
                  <w:pPr>
                    <w:autoSpaceDE/>
                    <w:autoSpaceDN/>
                    <w:spacing w:line="240" w:lineRule="auto"/>
                    <w:rPr>
                      <w:rFonts w:hint="eastAsia" w:eastAsia="宋体" w:cs="Times New Roman"/>
                      <w:color w:val="auto"/>
                      <w:sz w:val="21"/>
                      <w:szCs w:val="21"/>
                      <w:lang w:eastAsia="zh-CN"/>
                    </w:rPr>
                  </w:pPr>
                  <w:r>
                    <w:rPr>
                      <w:rFonts w:hint="eastAsia" w:cs="Times New Roman"/>
                      <w:color w:val="auto"/>
                      <w:sz w:val="21"/>
                      <w:szCs w:val="21"/>
                      <w:lang w:eastAsia="zh-CN"/>
                    </w:rPr>
                    <w:t>皮带</w:t>
                  </w:r>
                </w:p>
              </w:tc>
              <w:tc>
                <w:tcPr>
                  <w:tcW w:w="1604" w:type="dxa"/>
                  <w:vAlign w:val="center"/>
                </w:tcPr>
                <w:p>
                  <w:pPr>
                    <w:autoSpaceDE/>
                    <w:autoSpaceDN/>
                    <w:spacing w:line="240" w:lineRule="auto"/>
                    <w:rPr>
                      <w:rFonts w:hint="default" w:eastAsia="宋体" w:cs="Times New Roman"/>
                      <w:color w:val="auto"/>
                      <w:sz w:val="21"/>
                      <w:szCs w:val="21"/>
                      <w:lang w:val="en-US" w:eastAsia="zh-CN"/>
                    </w:rPr>
                  </w:pPr>
                  <w:r>
                    <w:rPr>
                      <w:rFonts w:hint="eastAsia" w:cs="Times New Roman"/>
                      <w:color w:val="auto"/>
                      <w:sz w:val="21"/>
                      <w:szCs w:val="21"/>
                      <w:lang w:val="en-US" w:eastAsia="zh-CN"/>
                    </w:rPr>
                    <w:t>75</w:t>
                  </w:r>
                </w:p>
              </w:tc>
              <w:tc>
                <w:tcPr>
                  <w:tcW w:w="2023" w:type="dxa"/>
                  <w:vAlign w:val="center"/>
                </w:tcPr>
                <w:p>
                  <w:pPr>
                    <w:autoSpaceDE/>
                    <w:autoSpaceDN/>
                    <w:spacing w:line="240" w:lineRule="exact"/>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2710" w:type="dxa"/>
                  <w:vAlign w:val="center"/>
                </w:tcPr>
                <w:p>
                  <w:pPr>
                    <w:spacing w:line="240" w:lineRule="exact"/>
                    <w:rPr>
                      <w:rFonts w:hint="default" w:eastAsia="宋体" w:cs="Times New Roman"/>
                      <w:color w:val="auto"/>
                      <w:sz w:val="21"/>
                      <w:szCs w:val="21"/>
                      <w:lang w:val="en-US" w:eastAsia="zh-CN"/>
                    </w:rPr>
                  </w:pPr>
                  <w:r>
                    <w:rPr>
                      <w:rFonts w:hint="eastAsia" w:cs="Times New Roman"/>
                      <w:color w:val="auto"/>
                      <w:sz w:val="21"/>
                      <w:szCs w:val="21"/>
                      <w:lang w:val="en-US" w:eastAsia="zh-CN"/>
                    </w:rPr>
                    <w:t>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81" w:type="dxa"/>
                  <w:vAlign w:val="center"/>
                </w:tcPr>
                <w:p>
                  <w:pPr>
                    <w:autoSpaceDE/>
                    <w:autoSpaceDN/>
                    <w:spacing w:line="240" w:lineRule="auto"/>
                    <w:rPr>
                      <w:rFonts w:hint="eastAsia" w:cs="Times New Roman"/>
                      <w:color w:val="auto"/>
                      <w:sz w:val="21"/>
                      <w:szCs w:val="21"/>
                      <w:lang w:eastAsia="zh-CN"/>
                    </w:rPr>
                  </w:pPr>
                  <w:r>
                    <w:rPr>
                      <w:rFonts w:hint="eastAsia" w:cs="Times New Roman"/>
                      <w:color w:val="auto"/>
                      <w:sz w:val="21"/>
                      <w:szCs w:val="21"/>
                      <w:lang w:eastAsia="zh-CN"/>
                    </w:rPr>
                    <w:t>风机</w:t>
                  </w:r>
                </w:p>
              </w:tc>
              <w:tc>
                <w:tcPr>
                  <w:tcW w:w="1604" w:type="dxa"/>
                  <w:vAlign w:val="center"/>
                </w:tcPr>
                <w:p>
                  <w:pPr>
                    <w:autoSpaceDE/>
                    <w:autoSpaceDN/>
                    <w:spacing w:line="240" w:lineRule="auto"/>
                    <w:rPr>
                      <w:rFonts w:hint="default" w:cs="Times New Roman"/>
                      <w:color w:val="auto"/>
                      <w:sz w:val="21"/>
                      <w:szCs w:val="21"/>
                      <w:lang w:val="en-US" w:eastAsia="zh-CN"/>
                    </w:rPr>
                  </w:pPr>
                  <w:r>
                    <w:rPr>
                      <w:rFonts w:hint="eastAsia" w:cs="Times New Roman"/>
                      <w:color w:val="auto"/>
                      <w:sz w:val="21"/>
                      <w:szCs w:val="21"/>
                      <w:lang w:val="en-US" w:eastAsia="zh-CN"/>
                    </w:rPr>
                    <w:t>75</w:t>
                  </w:r>
                </w:p>
              </w:tc>
              <w:tc>
                <w:tcPr>
                  <w:tcW w:w="2023" w:type="dxa"/>
                  <w:vAlign w:val="center"/>
                </w:tcPr>
                <w:p>
                  <w:pPr>
                    <w:autoSpaceDE/>
                    <w:autoSpaceDN/>
                    <w:spacing w:line="240" w:lineRule="exact"/>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2710" w:type="dxa"/>
                  <w:vAlign w:val="center"/>
                </w:tcPr>
                <w:p>
                  <w:pPr>
                    <w:spacing w:line="240" w:lineRule="exact"/>
                    <w:rPr>
                      <w:rFonts w:hint="default" w:cs="Times New Roman"/>
                      <w:color w:val="auto"/>
                      <w:sz w:val="21"/>
                      <w:szCs w:val="21"/>
                      <w:lang w:val="en-US" w:eastAsia="zh-CN"/>
                    </w:rPr>
                  </w:pPr>
                  <w:r>
                    <w:rPr>
                      <w:rFonts w:hint="eastAsia" w:cs="Times New Roman"/>
                      <w:color w:val="auto"/>
                      <w:sz w:val="21"/>
                      <w:szCs w:val="21"/>
                      <w:lang w:val="en-US" w:eastAsia="zh-CN"/>
                    </w:rPr>
                    <w:t>65</w:t>
                  </w:r>
                </w:p>
              </w:tc>
            </w:tr>
          </w:tbl>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color w:val="auto"/>
              </w:rPr>
            </w:pPr>
            <w:r>
              <w:rPr>
                <w:rFonts w:hint="eastAsia"/>
                <w:color w:val="auto"/>
              </w:rPr>
              <w:t>评价选用《环境影响评价技术导则声环境》（</w:t>
            </w:r>
            <w:r>
              <w:rPr>
                <w:color w:val="auto"/>
              </w:rPr>
              <w:t>HJ/T2.4-2009</w:t>
            </w:r>
            <w:r>
              <w:rPr>
                <w:rFonts w:hint="eastAsia"/>
                <w:color w:val="auto"/>
              </w:rPr>
              <w:t>）中推荐的预测模式预测项目噪声对厂界声环境及对周边保护目标的影响。</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color w:val="auto"/>
                <w:lang w:eastAsia="zh-CN"/>
              </w:rPr>
            </w:pPr>
            <w:r>
              <w:rPr>
                <w:rFonts w:hint="eastAsia"/>
                <w:color w:val="auto"/>
              </w:rPr>
              <w:t>预测软件：评价使用石家庄环安科技有限公司的噪声环境影响评价系统（</w:t>
            </w:r>
            <w:r>
              <w:rPr>
                <w:color w:val="auto"/>
              </w:rPr>
              <w:t>NoiseSystem</w:t>
            </w:r>
            <w:r>
              <w:rPr>
                <w:rFonts w:hint="eastAsia"/>
                <w:color w:val="auto"/>
              </w:rPr>
              <w:t>）</w:t>
            </w:r>
            <w:r>
              <w:rPr>
                <w:color w:val="auto"/>
              </w:rPr>
              <w:t>2012</w:t>
            </w:r>
            <w:r>
              <w:rPr>
                <w:rFonts w:hint="eastAsia"/>
                <w:color w:val="auto"/>
              </w:rPr>
              <w:t>标准版（版本</w:t>
            </w:r>
            <w:r>
              <w:rPr>
                <w:color w:val="auto"/>
              </w:rPr>
              <w:t>3.</w:t>
            </w:r>
            <w:r>
              <w:rPr>
                <w:rFonts w:hint="eastAsia"/>
                <w:color w:val="auto"/>
                <w:lang w:val="en-US" w:eastAsia="zh-CN"/>
              </w:rPr>
              <w:t>3</w:t>
            </w:r>
            <w:r>
              <w:rPr>
                <w:color w:val="auto"/>
              </w:rPr>
              <w:t>.1.20992</w:t>
            </w:r>
            <w:r>
              <w:rPr>
                <w:rFonts w:hint="eastAsia"/>
                <w:color w:val="auto"/>
              </w:rPr>
              <w:t>）进行噪声预测。预测过程中，各噪声设备在一定的距离处可以被视作点源，设备所处位置、与墙壁的</w:t>
            </w:r>
            <w:r>
              <w:rPr>
                <w:rFonts w:hint="eastAsia"/>
                <w:color w:val="auto"/>
                <w:lang w:eastAsia="zh-CN"/>
              </w:rPr>
              <w:t>距离</w:t>
            </w:r>
            <w:r>
              <w:rPr>
                <w:rFonts w:hint="eastAsia"/>
                <w:color w:val="auto"/>
              </w:rPr>
              <w:t>、与预测点的距离、隔墙厚度等均按实际布设确定，</w:t>
            </w:r>
            <w:r>
              <w:rPr>
                <w:rFonts w:hint="eastAsia"/>
                <w:color w:val="auto"/>
                <w:lang w:eastAsia="zh-CN"/>
              </w:rPr>
              <w:t>未</w:t>
            </w:r>
            <w:r>
              <w:rPr>
                <w:rFonts w:hint="eastAsia"/>
                <w:color w:val="auto"/>
              </w:rPr>
              <w:t>考虑地形因素的影响。</w:t>
            </w:r>
            <w:r>
              <w:rPr>
                <w:rFonts w:hint="eastAsia"/>
                <w:color w:val="auto"/>
                <w:lang w:eastAsia="zh-CN"/>
              </w:rPr>
              <w:t>预测过程中增加建筑物降噪措施及声屏障降噪措施。</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color w:val="auto"/>
              </w:rPr>
            </w:pPr>
            <w:r>
              <w:rPr>
                <w:rFonts w:hint="eastAsia"/>
                <w:color w:val="auto"/>
                <w:lang w:eastAsia="zh-CN"/>
              </w:rPr>
              <w:t>噪声预测等声级线如下图所示</w:t>
            </w:r>
            <w:r>
              <w:rPr>
                <w:rFonts w:hint="eastAsia"/>
                <w:color w:val="auto"/>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lang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lang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lang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lang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lang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lang w:eastAsia="zh-CN"/>
              </w:rPr>
            </w:pPr>
            <w:r>
              <w:drawing>
                <wp:anchor distT="0" distB="0" distL="114300" distR="114300" simplePos="0" relativeHeight="251676672" behindDoc="0" locked="0" layoutInCell="1" allowOverlap="1">
                  <wp:simplePos x="0" y="0"/>
                  <wp:positionH relativeFrom="column">
                    <wp:posOffset>407670</wp:posOffset>
                  </wp:positionH>
                  <wp:positionV relativeFrom="paragraph">
                    <wp:posOffset>62865</wp:posOffset>
                  </wp:positionV>
                  <wp:extent cx="4227195" cy="2382520"/>
                  <wp:effectExtent l="0" t="0" r="1905" b="17780"/>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a:stretch>
                            <a:fillRect/>
                          </a:stretch>
                        </pic:blipFill>
                        <pic:spPr>
                          <a:xfrm>
                            <a:off x="0" y="0"/>
                            <a:ext cx="4227195" cy="238252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lang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lang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lang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lang w:eastAsia="zh-CN"/>
              </w:rPr>
            </w:pP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lang w:eastAsia="zh-CN"/>
              </w:rPr>
            </w:pPr>
          </w:p>
          <w:p>
            <w:pPr>
              <w:pStyle w:val="2"/>
              <w:rPr>
                <w:rFonts w:hint="eastAsia"/>
                <w:color w:val="auto"/>
                <w:lang w:eastAsia="zh-CN"/>
              </w:rPr>
            </w:pPr>
          </w:p>
          <w:p>
            <w:pPr>
              <w:rPr>
                <w:rFonts w:hint="eastAsia"/>
                <w:color w:val="auto"/>
                <w:lang w:eastAsia="zh-CN"/>
              </w:rPr>
            </w:pPr>
          </w:p>
          <w:p>
            <w:pPr>
              <w:pStyle w:val="2"/>
              <w:rPr>
                <w:rFonts w:hint="eastAsia"/>
                <w:color w:val="auto"/>
                <w:lang w:eastAsia="zh-CN"/>
              </w:rPr>
            </w:pPr>
          </w:p>
          <w:p>
            <w:pPr>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rPr>
              <w:t>图</w:t>
            </w:r>
            <w:r>
              <w:rPr>
                <w:rFonts w:hint="eastAsia" w:cs="Times New Roman"/>
                <w:b/>
                <w:bCs/>
                <w:color w:val="auto"/>
                <w:sz w:val="21"/>
                <w:szCs w:val="21"/>
                <w:lang w:val="en-US" w:eastAsia="zh-CN"/>
              </w:rPr>
              <w:t>4-2</w:t>
            </w:r>
            <w:r>
              <w:rPr>
                <w:rFonts w:hint="eastAsia" w:ascii="Times New Roman" w:hAnsi="Times New Roman" w:eastAsia="宋体" w:cs="Times New Roman"/>
                <w:b/>
                <w:bCs/>
                <w:color w:val="auto"/>
                <w:sz w:val="21"/>
                <w:szCs w:val="21"/>
                <w:lang w:eastAsia="zh-CN"/>
              </w:rPr>
              <w:t>项目噪声等值线图</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jc w:val="left"/>
              <w:textAlignment w:val="auto"/>
              <w:rPr>
                <w:color w:val="auto"/>
              </w:rPr>
            </w:pPr>
            <w:r>
              <w:rPr>
                <w:color w:val="auto"/>
              </w:rPr>
              <w:t>预测结果如下表所列</w:t>
            </w:r>
            <w:r>
              <w:rPr>
                <w:rFonts w:hint="eastAsia"/>
                <w:color w:val="auto"/>
              </w:rPr>
              <w:t>：</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0" w:firstLineChars="0"/>
              <w:jc w:val="center"/>
              <w:textAlignment w:val="auto"/>
              <w:rPr>
                <w:rFonts w:hint="default" w:ascii="Times New Roman" w:hAnsi="Times New Roman" w:eastAsia="宋体" w:cs="Times New Roman"/>
                <w:b/>
                <w:color w:val="auto"/>
                <w:sz w:val="21"/>
                <w:highlight w:val="none"/>
                <w:lang w:eastAsia="zh-CN"/>
              </w:rPr>
            </w:pPr>
            <w:r>
              <w:rPr>
                <w:rFonts w:hint="default" w:ascii="Times New Roman" w:hAnsi="Times New Roman" w:cs="Times New Roman"/>
                <w:b/>
                <w:bCs/>
                <w:color w:val="auto"/>
                <w:sz w:val="21"/>
                <w:szCs w:val="21"/>
                <w:highlight w:val="none"/>
              </w:rPr>
              <w:t>表</w:t>
            </w:r>
            <w:r>
              <w:rPr>
                <w:rFonts w:hint="eastAsia" w:cs="Times New Roman"/>
                <w:b/>
                <w:bCs/>
                <w:color w:val="auto"/>
                <w:sz w:val="21"/>
                <w:szCs w:val="21"/>
                <w:highlight w:val="none"/>
                <w:lang w:val="en-US" w:eastAsia="zh-CN"/>
              </w:rPr>
              <w:t>4-14</w:t>
            </w:r>
            <w:r>
              <w:rPr>
                <w:rFonts w:hint="default" w:ascii="Times New Roman" w:hAnsi="Times New Roman" w:eastAsia="宋体" w:cs="Times New Roman"/>
                <w:b/>
                <w:color w:val="auto"/>
                <w:sz w:val="21"/>
                <w:highlight w:val="none"/>
                <w:lang w:val="en-US" w:eastAsia="zh-CN"/>
              </w:rPr>
              <w:t>噪声</w:t>
            </w:r>
            <w:r>
              <w:rPr>
                <w:rFonts w:hint="eastAsia" w:cs="Times New Roman"/>
                <w:b/>
                <w:color w:val="auto"/>
                <w:sz w:val="21"/>
                <w:highlight w:val="none"/>
                <w:lang w:val="en-US" w:eastAsia="zh-CN"/>
              </w:rPr>
              <w:t>预测结果</w:t>
            </w:r>
            <w:r>
              <w:rPr>
                <w:rFonts w:hint="default" w:ascii="Times New Roman" w:hAnsi="Times New Roman" w:eastAsia="宋体" w:cs="Times New Roman"/>
                <w:b/>
                <w:color w:val="auto"/>
                <w:sz w:val="21"/>
                <w:highlight w:val="none"/>
                <w:lang w:eastAsia="zh-CN"/>
              </w:rPr>
              <w:t>及达标分析</w:t>
            </w:r>
          </w:p>
          <w:tbl>
            <w:tblPr>
              <w:tblStyle w:val="15"/>
              <w:tblW w:w="495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93"/>
              <w:gridCol w:w="825"/>
              <w:gridCol w:w="54"/>
              <w:gridCol w:w="771"/>
              <w:gridCol w:w="700"/>
              <w:gridCol w:w="43"/>
              <w:gridCol w:w="744"/>
              <w:gridCol w:w="681"/>
              <w:gridCol w:w="32"/>
              <w:gridCol w:w="650"/>
              <w:gridCol w:w="785"/>
              <w:gridCol w:w="52"/>
              <w:gridCol w:w="7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3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w:t>
                  </w:r>
                </w:p>
              </w:tc>
              <w:tc>
                <w:tcPr>
                  <w:tcW w:w="3764"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贡献值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c>
                <w:tcPr>
                  <w:tcW w:w="102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东厂界</w:t>
                  </w:r>
                </w:p>
              </w:tc>
              <w:tc>
                <w:tcPr>
                  <w:tcW w:w="92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西厂界</w:t>
                  </w:r>
                </w:p>
              </w:tc>
              <w:tc>
                <w:tcPr>
                  <w:tcW w:w="84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南厂界</w:t>
                  </w:r>
                </w:p>
              </w:tc>
              <w:tc>
                <w:tcPr>
                  <w:tcW w:w="97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北厂界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12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p>
              </w:tc>
              <w:tc>
                <w:tcPr>
                  <w:tcW w:w="54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昼间</w:t>
                  </w:r>
                </w:p>
              </w:tc>
              <w:tc>
                <w:tcPr>
                  <w:tcW w:w="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cs="Times New Roman"/>
                      <w:color w:val="auto"/>
                      <w:sz w:val="21"/>
                      <w:szCs w:val="21"/>
                      <w:highlight w:val="none"/>
                    </w:rPr>
                    <w:t>夜间</w:t>
                  </w:r>
                </w:p>
              </w:tc>
              <w:tc>
                <w:tcPr>
                  <w:tcW w:w="4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昼间</w:t>
                  </w:r>
                </w:p>
              </w:tc>
              <w:tc>
                <w:tcPr>
                  <w:tcW w:w="48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cs="Times New Roman"/>
                      <w:color w:val="auto"/>
                      <w:sz w:val="21"/>
                      <w:szCs w:val="21"/>
                      <w:highlight w:val="none"/>
                    </w:rPr>
                    <w:t>夜间</w:t>
                  </w:r>
                </w:p>
              </w:tc>
              <w:tc>
                <w:tcPr>
                  <w:tcW w:w="44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夜间</w:t>
                  </w:r>
                </w:p>
              </w:tc>
              <w:tc>
                <w:tcPr>
                  <w:tcW w:w="51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昼间</w:t>
                  </w:r>
                </w:p>
              </w:tc>
              <w:tc>
                <w:tcPr>
                  <w:tcW w:w="4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lang w:eastAsia="zh-CN"/>
                    </w:rPr>
                  </w:pPr>
                  <w:r>
                    <w:rPr>
                      <w:rFonts w:hint="default" w:ascii="Times New Roman" w:hAnsi="Times New Roman" w:cs="Times New Roman"/>
                      <w:color w:val="auto"/>
                      <w:sz w:val="21"/>
                      <w:szCs w:val="21"/>
                      <w:highlight w:val="none"/>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2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贡献值dB（A）</w:t>
                  </w:r>
                </w:p>
              </w:tc>
              <w:tc>
                <w:tcPr>
                  <w:tcW w:w="102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33.88</w:t>
                  </w:r>
                </w:p>
              </w:tc>
              <w:tc>
                <w:tcPr>
                  <w:tcW w:w="92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41.80</w:t>
                  </w:r>
                </w:p>
              </w:tc>
              <w:tc>
                <w:tcPr>
                  <w:tcW w:w="84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30.95</w:t>
                  </w:r>
                </w:p>
              </w:tc>
              <w:tc>
                <w:tcPr>
                  <w:tcW w:w="97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评价标准dB（A）</w:t>
                  </w:r>
                </w:p>
              </w:tc>
              <w:tc>
                <w:tcPr>
                  <w:tcW w:w="5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51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w:t>
                  </w:r>
                </w:p>
              </w:tc>
              <w:tc>
                <w:tcPr>
                  <w:tcW w:w="74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6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rPr>
                    <w:t>60</w:t>
                  </w:r>
                </w:p>
              </w:tc>
              <w:tc>
                <w:tcPr>
                  <w:tcW w:w="68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7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rPr>
                    <w:t>60</w:t>
                  </w:r>
                </w:p>
              </w:tc>
              <w:tc>
                <w:tcPr>
                  <w:tcW w:w="7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评价结果</w:t>
                  </w:r>
                </w:p>
              </w:tc>
              <w:tc>
                <w:tcPr>
                  <w:tcW w:w="102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达标</w:t>
                  </w:r>
                </w:p>
              </w:tc>
              <w:tc>
                <w:tcPr>
                  <w:tcW w:w="92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达标</w:t>
                  </w:r>
                </w:p>
              </w:tc>
              <w:tc>
                <w:tcPr>
                  <w:tcW w:w="84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rPr>
                    <w:t>达标</w:t>
                  </w:r>
                </w:p>
              </w:tc>
              <w:tc>
                <w:tcPr>
                  <w:tcW w:w="97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rPr>
                    <w:t>达标</w:t>
                  </w:r>
                </w:p>
              </w:tc>
            </w:tr>
          </w:tbl>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pacing w:val="0"/>
                <w:w w:val="100"/>
                <w:sz w:val="24"/>
                <w:szCs w:val="24"/>
              </w:rPr>
            </w:pPr>
            <w:r>
              <w:rPr>
                <w:rFonts w:hint="eastAsia"/>
                <w:color w:val="auto"/>
                <w:szCs w:val="24"/>
              </w:rPr>
              <w:t>根据上述预测结果，</w:t>
            </w:r>
            <w:r>
              <w:rPr>
                <w:rFonts w:hint="eastAsia" w:cs="Times New Roman"/>
                <w:color w:val="auto"/>
                <w:spacing w:val="0"/>
                <w:w w:val="100"/>
                <w:sz w:val="24"/>
                <w:szCs w:val="24"/>
                <w:lang w:eastAsia="zh-CN"/>
              </w:rPr>
              <w:t>厂界</w:t>
            </w:r>
            <w:r>
              <w:rPr>
                <w:rFonts w:hint="eastAsia" w:cs="Times New Roman"/>
                <w:color w:val="auto"/>
                <w:spacing w:val="0"/>
                <w:w w:val="100"/>
                <w:sz w:val="24"/>
                <w:szCs w:val="24"/>
                <w:lang w:val="en-US" w:eastAsia="zh-CN"/>
              </w:rPr>
              <w:t>四周</w:t>
            </w:r>
            <w:r>
              <w:rPr>
                <w:rFonts w:hint="default" w:ascii="Times New Roman" w:hAnsi="Times New Roman" w:eastAsia="宋体" w:cs="Times New Roman"/>
                <w:color w:val="auto"/>
                <w:spacing w:val="0"/>
                <w:w w:val="100"/>
                <w:sz w:val="24"/>
                <w:szCs w:val="24"/>
                <w:lang w:eastAsia="zh-CN"/>
              </w:rPr>
              <w:t>噪声</w:t>
            </w:r>
            <w:r>
              <w:rPr>
                <w:rFonts w:hint="eastAsia" w:cs="Times New Roman"/>
                <w:color w:val="auto"/>
                <w:spacing w:val="0"/>
                <w:w w:val="100"/>
                <w:sz w:val="24"/>
                <w:szCs w:val="24"/>
                <w:lang w:val="en-US" w:eastAsia="zh-CN"/>
              </w:rPr>
              <w:t>均</w:t>
            </w:r>
            <w:r>
              <w:rPr>
                <w:rFonts w:hint="eastAsia" w:eastAsia="宋体" w:cs="Times New Roman"/>
                <w:color w:val="auto"/>
                <w:spacing w:val="0"/>
                <w:w w:val="100"/>
                <w:sz w:val="24"/>
                <w:szCs w:val="24"/>
                <w:lang w:eastAsia="zh-CN"/>
              </w:rPr>
              <w:t>满足</w:t>
            </w:r>
            <w:r>
              <w:rPr>
                <w:rFonts w:hint="default" w:ascii="Times New Roman" w:hAnsi="Times New Roman" w:eastAsia="宋体" w:cs="Times New Roman"/>
                <w:color w:val="auto"/>
                <w:spacing w:val="0"/>
                <w:w w:val="100"/>
                <w:sz w:val="24"/>
                <w:szCs w:val="24"/>
              </w:rPr>
              <w:t>《工业企业厂界环境噪声排放标准》（GB12348-2008）</w:t>
            </w:r>
            <w:r>
              <w:rPr>
                <w:rFonts w:hint="eastAsia" w:cs="Times New Roman"/>
                <w:spacing w:val="0"/>
                <w:w w:val="100"/>
                <w:sz w:val="24"/>
                <w:szCs w:val="24"/>
                <w:lang w:eastAsia="zh-CN"/>
              </w:rPr>
              <w:t>东、西、南、北厂界</w:t>
            </w:r>
            <w:r>
              <w:rPr>
                <w:rFonts w:hint="default" w:ascii="Times New Roman" w:hAnsi="Times New Roman" w:eastAsia="宋体" w:cs="Times New Roman"/>
                <w:spacing w:val="0"/>
                <w:w w:val="100"/>
                <w:sz w:val="24"/>
                <w:szCs w:val="24"/>
              </w:rPr>
              <w:t>执行</w:t>
            </w:r>
            <w:r>
              <w:rPr>
                <w:rFonts w:hint="eastAsia" w:cs="Times New Roman"/>
                <w:spacing w:val="0"/>
                <w:w w:val="100"/>
                <w:sz w:val="24"/>
                <w:szCs w:val="24"/>
                <w:lang w:val="en-US" w:eastAsia="zh-CN"/>
              </w:rPr>
              <w:t>2</w:t>
            </w:r>
            <w:r>
              <w:rPr>
                <w:rFonts w:hint="default" w:ascii="Times New Roman" w:hAnsi="Times New Roman" w:eastAsia="宋体" w:cs="Times New Roman"/>
                <w:spacing w:val="0"/>
                <w:w w:val="100"/>
                <w:sz w:val="24"/>
                <w:szCs w:val="24"/>
              </w:rPr>
              <w:t>类标准：昼间</w:t>
            </w:r>
            <w:r>
              <w:rPr>
                <w:rFonts w:hint="eastAsia" w:cs="Times New Roman"/>
                <w:spacing w:val="0"/>
                <w:w w:val="100"/>
                <w:sz w:val="24"/>
                <w:szCs w:val="24"/>
                <w:lang w:val="en-US" w:eastAsia="zh-CN"/>
              </w:rPr>
              <w:t>60</w:t>
            </w:r>
            <w:r>
              <w:rPr>
                <w:rFonts w:hint="default" w:ascii="Times New Roman" w:hAnsi="Times New Roman" w:eastAsia="宋体" w:cs="Times New Roman"/>
                <w:spacing w:val="0"/>
                <w:w w:val="100"/>
                <w:sz w:val="24"/>
                <w:szCs w:val="24"/>
              </w:rPr>
              <w:t>dB（A）、夜间5</w:t>
            </w:r>
            <w:r>
              <w:rPr>
                <w:rFonts w:hint="eastAsia" w:cs="Times New Roman"/>
                <w:spacing w:val="0"/>
                <w:w w:val="100"/>
                <w:sz w:val="24"/>
                <w:szCs w:val="24"/>
                <w:lang w:val="en-US" w:eastAsia="zh-CN"/>
              </w:rPr>
              <w:t>0</w:t>
            </w:r>
            <w:r>
              <w:rPr>
                <w:rFonts w:hint="default" w:ascii="Times New Roman" w:hAnsi="Times New Roman" w:eastAsia="宋体" w:cs="Times New Roman"/>
                <w:spacing w:val="0"/>
                <w:w w:val="100"/>
                <w:sz w:val="24"/>
                <w:szCs w:val="24"/>
              </w:rPr>
              <w:t>dB（A）</w:t>
            </w:r>
            <w:r>
              <w:rPr>
                <w:rFonts w:hint="eastAsia" w:cs="Times New Roman"/>
                <w:color w:val="auto"/>
                <w:spacing w:val="0"/>
                <w:w w:val="10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原料及成品运输使得公路车流量增加，将会</w:t>
            </w:r>
            <w:r>
              <w:rPr>
                <w:rFonts w:hint="eastAsia" w:cs="Times New Roman"/>
                <w:color w:val="auto"/>
                <w:spacing w:val="0"/>
                <w:w w:val="100"/>
                <w:sz w:val="24"/>
                <w:szCs w:val="24"/>
                <w:lang w:val="en-US" w:eastAsia="zh-CN"/>
              </w:rPr>
              <w:t>对</w:t>
            </w:r>
            <w:r>
              <w:rPr>
                <w:rFonts w:hint="default" w:ascii="Times New Roman" w:hAnsi="Times New Roman" w:eastAsia="宋体" w:cs="Times New Roman"/>
                <w:color w:val="auto"/>
                <w:spacing w:val="0"/>
                <w:w w:val="100"/>
                <w:sz w:val="24"/>
                <w:szCs w:val="24"/>
              </w:rPr>
              <w:t>沿途的声环境质量产生一定的影响，因此，要求合理安排工作时间，避开敏感时段，运输车辆在途经沿线村庄减速慢行，禁止鸣笛，可有效降低噪声对沿线居民的影响。</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pacing w:val="0"/>
                <w:w w:val="100"/>
                <w:sz w:val="24"/>
                <w:szCs w:val="24"/>
              </w:rPr>
            </w:pPr>
            <w:r>
              <w:rPr>
                <w:rFonts w:hint="eastAsia" w:ascii="Times New Roman" w:hAnsi="Times New Roman" w:eastAsia="宋体" w:cs="Times New Roman"/>
                <w:color w:val="auto"/>
                <w:spacing w:val="0"/>
                <w:w w:val="100"/>
                <w:sz w:val="24"/>
                <w:szCs w:val="24"/>
              </w:rPr>
              <w:t>综上所述，</w:t>
            </w:r>
            <w:r>
              <w:rPr>
                <w:rFonts w:hint="default" w:ascii="Times New Roman" w:hAnsi="Times New Roman" w:eastAsia="宋体" w:cs="Times New Roman"/>
                <w:color w:val="auto"/>
                <w:spacing w:val="0"/>
                <w:w w:val="100"/>
                <w:sz w:val="24"/>
                <w:szCs w:val="24"/>
              </w:rPr>
              <w:t>项目产生的噪声得到了合理处置，对周围环境影响较小。</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cs="Times New Roman"/>
                <w:b/>
                <w:bCs/>
                <w:sz w:val="21"/>
                <w:szCs w:val="21"/>
              </w:rPr>
            </w:pPr>
            <w:r>
              <w:rPr>
                <w:rFonts w:hint="eastAsia" w:cs="Times New Roman"/>
                <w:b/>
                <w:bCs/>
                <w:lang w:val="en-US" w:eastAsia="zh-CN"/>
              </w:rPr>
              <w:t>3</w:t>
            </w:r>
            <w:r>
              <w:rPr>
                <w:rFonts w:hint="eastAsia" w:cs="Times New Roman"/>
                <w:b/>
                <w:bCs/>
                <w:lang w:val="en-US"/>
              </w:rPr>
              <w:t>.</w:t>
            </w:r>
            <w:r>
              <w:rPr>
                <w:rFonts w:hint="eastAsia" w:cs="Times New Roman"/>
                <w:b/>
                <w:bCs/>
                <w:lang w:val="en-US" w:eastAsia="zh-CN"/>
              </w:rPr>
              <w:t>2</w:t>
            </w:r>
            <w:r>
              <w:rPr>
                <w:rFonts w:hint="eastAsia" w:cs="Times New Roman"/>
                <w:b/>
                <w:bCs/>
                <w:lang w:val="en-US"/>
              </w:rPr>
              <w:t>监测计划</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cs="Times New Roman"/>
                <w:b/>
                <w:bCs/>
                <w:sz w:val="21"/>
                <w:szCs w:val="21"/>
              </w:rPr>
            </w:pPr>
            <w:r>
              <w:rPr>
                <w:rFonts w:cs="Times New Roman"/>
                <w:b/>
                <w:bCs/>
                <w:sz w:val="21"/>
                <w:szCs w:val="21"/>
              </w:rPr>
              <w:t>表</w:t>
            </w:r>
            <w:r>
              <w:rPr>
                <w:rFonts w:hint="eastAsia" w:cs="Times New Roman"/>
                <w:b/>
                <w:bCs/>
                <w:sz w:val="21"/>
                <w:szCs w:val="21"/>
                <w:lang w:val="en-US"/>
              </w:rPr>
              <w:t>4-</w:t>
            </w:r>
            <w:r>
              <w:rPr>
                <w:rFonts w:hint="eastAsia" w:cs="Times New Roman"/>
                <w:b/>
                <w:bCs/>
                <w:sz w:val="21"/>
                <w:szCs w:val="21"/>
                <w:lang w:val="en-US" w:eastAsia="zh-CN"/>
              </w:rPr>
              <w:t>15</w:t>
            </w:r>
            <w:r>
              <w:rPr>
                <w:rFonts w:hint="eastAsia" w:cs="Times New Roman"/>
                <w:b/>
                <w:bCs/>
                <w:sz w:val="21"/>
                <w:szCs w:val="21"/>
              </w:rPr>
              <w:t>运营期噪声监测计划一览表</w:t>
            </w:r>
          </w:p>
          <w:tbl>
            <w:tblPr>
              <w:tblStyle w:val="16"/>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6"/>
              <w:gridCol w:w="1691"/>
              <w:gridCol w:w="1498"/>
              <w:gridCol w:w="2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56" w:type="pct"/>
                  <w:vAlign w:val="center"/>
                </w:tcPr>
                <w:p>
                  <w:pPr>
                    <w:pStyle w:val="2"/>
                    <w:jc w:val="center"/>
                    <w:rPr>
                      <w:b/>
                      <w:bCs/>
                      <w:color w:val="auto"/>
                      <w:sz w:val="21"/>
                      <w:szCs w:val="21"/>
                    </w:rPr>
                  </w:pPr>
                  <w:r>
                    <w:rPr>
                      <w:rFonts w:hint="eastAsia"/>
                      <w:b/>
                      <w:bCs/>
                      <w:color w:val="auto"/>
                      <w:sz w:val="21"/>
                      <w:szCs w:val="21"/>
                    </w:rPr>
                    <w:t>监测点位</w:t>
                  </w:r>
                </w:p>
              </w:tc>
              <w:tc>
                <w:tcPr>
                  <w:tcW w:w="1059" w:type="pct"/>
                  <w:vAlign w:val="center"/>
                </w:tcPr>
                <w:p>
                  <w:pPr>
                    <w:pStyle w:val="2"/>
                    <w:jc w:val="center"/>
                    <w:rPr>
                      <w:b/>
                      <w:bCs/>
                      <w:color w:val="auto"/>
                      <w:sz w:val="21"/>
                      <w:szCs w:val="21"/>
                    </w:rPr>
                  </w:pPr>
                  <w:r>
                    <w:rPr>
                      <w:rFonts w:hint="eastAsia"/>
                      <w:b/>
                      <w:bCs/>
                      <w:color w:val="auto"/>
                      <w:sz w:val="21"/>
                      <w:szCs w:val="21"/>
                    </w:rPr>
                    <w:t>监测指标</w:t>
                  </w:r>
                </w:p>
              </w:tc>
              <w:tc>
                <w:tcPr>
                  <w:tcW w:w="939" w:type="pct"/>
                  <w:vAlign w:val="center"/>
                </w:tcPr>
                <w:p>
                  <w:pPr>
                    <w:pStyle w:val="2"/>
                    <w:jc w:val="center"/>
                    <w:rPr>
                      <w:b/>
                      <w:bCs/>
                      <w:color w:val="auto"/>
                      <w:sz w:val="21"/>
                      <w:szCs w:val="21"/>
                    </w:rPr>
                  </w:pPr>
                  <w:r>
                    <w:rPr>
                      <w:rFonts w:hint="eastAsia"/>
                      <w:b/>
                      <w:bCs/>
                      <w:color w:val="auto"/>
                      <w:sz w:val="21"/>
                      <w:szCs w:val="21"/>
                    </w:rPr>
                    <w:t>监测频次</w:t>
                  </w:r>
                </w:p>
              </w:tc>
              <w:tc>
                <w:tcPr>
                  <w:tcW w:w="1844" w:type="pct"/>
                  <w:vAlign w:val="center"/>
                </w:tcPr>
                <w:p>
                  <w:pPr>
                    <w:pStyle w:val="2"/>
                    <w:jc w:val="center"/>
                    <w:rPr>
                      <w:b/>
                      <w:bCs/>
                      <w:color w:val="auto"/>
                      <w:sz w:val="21"/>
                      <w:szCs w:val="21"/>
                    </w:rPr>
                  </w:pPr>
                  <w:r>
                    <w:rPr>
                      <w:rFonts w:hint="eastAsia"/>
                      <w:b/>
                      <w:bCs/>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56" w:type="pct"/>
                  <w:vAlign w:val="center"/>
                </w:tcPr>
                <w:p>
                  <w:pPr>
                    <w:pStyle w:val="2"/>
                    <w:jc w:val="center"/>
                    <w:rPr>
                      <w:color w:val="auto"/>
                      <w:sz w:val="21"/>
                      <w:szCs w:val="21"/>
                    </w:rPr>
                  </w:pPr>
                  <w:r>
                    <w:rPr>
                      <w:rFonts w:hint="eastAsia"/>
                      <w:color w:val="auto"/>
                      <w:sz w:val="21"/>
                      <w:szCs w:val="21"/>
                    </w:rPr>
                    <w:t>项目四周厂界外1m</w:t>
                  </w:r>
                </w:p>
              </w:tc>
              <w:tc>
                <w:tcPr>
                  <w:tcW w:w="1059" w:type="pct"/>
                  <w:vAlign w:val="center"/>
                </w:tcPr>
                <w:p>
                  <w:pPr>
                    <w:pStyle w:val="2"/>
                    <w:jc w:val="center"/>
                    <w:rPr>
                      <w:color w:val="auto"/>
                      <w:sz w:val="21"/>
                      <w:szCs w:val="21"/>
                    </w:rPr>
                  </w:pPr>
                  <w:r>
                    <w:rPr>
                      <w:rFonts w:hint="eastAsia"/>
                      <w:color w:val="auto"/>
                      <w:sz w:val="21"/>
                      <w:szCs w:val="21"/>
                    </w:rPr>
                    <w:t>连续等效A声级</w:t>
                  </w:r>
                </w:p>
              </w:tc>
              <w:tc>
                <w:tcPr>
                  <w:tcW w:w="939" w:type="pct"/>
                  <w:vAlign w:val="center"/>
                </w:tcPr>
                <w:p>
                  <w:pPr>
                    <w:pStyle w:val="2"/>
                    <w:jc w:val="center"/>
                    <w:rPr>
                      <w:color w:val="auto"/>
                      <w:sz w:val="21"/>
                      <w:szCs w:val="21"/>
                    </w:rPr>
                  </w:pPr>
                  <w:r>
                    <w:rPr>
                      <w:rFonts w:hint="eastAsia"/>
                      <w:color w:val="auto"/>
                      <w:sz w:val="21"/>
                      <w:szCs w:val="21"/>
                    </w:rPr>
                    <w:t>1次/季度</w:t>
                  </w:r>
                </w:p>
              </w:tc>
              <w:tc>
                <w:tcPr>
                  <w:tcW w:w="1844" w:type="pct"/>
                  <w:vAlign w:val="center"/>
                </w:tcPr>
                <w:p>
                  <w:pPr>
                    <w:pStyle w:val="2"/>
                    <w:jc w:val="center"/>
                    <w:rPr>
                      <w:b/>
                      <w:bCs/>
                      <w:color w:val="auto"/>
                      <w:sz w:val="21"/>
                      <w:szCs w:val="21"/>
                    </w:rPr>
                  </w:pPr>
                  <w:r>
                    <w:rPr>
                      <w:color w:val="auto"/>
                      <w:sz w:val="21"/>
                      <w:szCs w:val="21"/>
                    </w:rPr>
                    <w:t>《工业企业厂界环境噪声排放标准》（GB12348-2008）</w:t>
                  </w:r>
                  <w:r>
                    <w:rPr>
                      <w:rFonts w:hint="eastAsia"/>
                      <w:color w:val="auto"/>
                      <w:sz w:val="21"/>
                      <w:szCs w:val="21"/>
                    </w:rPr>
                    <w:t>2</w:t>
                  </w:r>
                  <w:r>
                    <w:rPr>
                      <w:color w:val="auto"/>
                      <w:sz w:val="21"/>
                      <w:szCs w:val="21"/>
                    </w:rPr>
                    <w:t>类标准</w:t>
                  </w:r>
                </w:p>
              </w:tc>
            </w:tr>
          </w:tbl>
          <w:p>
            <w:pPr>
              <w:keepNext w:val="0"/>
              <w:keepLines w:val="0"/>
              <w:pageBreakBefore w:val="0"/>
              <w:widowControl w:val="0"/>
              <w:kinsoku/>
              <w:wordWrap/>
              <w:overflowPunct/>
              <w:topLinePunct w:val="0"/>
              <w:autoSpaceDE/>
              <w:autoSpaceDN/>
              <w:bidi w:val="0"/>
              <w:spacing w:line="500" w:lineRule="exact"/>
              <w:ind w:firstLine="482" w:firstLineChars="200"/>
              <w:jc w:val="left"/>
              <w:textAlignment w:val="auto"/>
              <w:rPr>
                <w:rFonts w:ascii="宋体" w:hAnsi="宋体"/>
                <w:b/>
                <w:bCs/>
                <w:lang w:val="en-US"/>
              </w:rPr>
            </w:pPr>
            <w:r>
              <w:rPr>
                <w:rFonts w:hint="eastAsia" w:cs="Times New Roman"/>
                <w:b/>
                <w:bCs/>
                <w:lang w:val="en-US" w:eastAsia="zh-CN"/>
              </w:rPr>
              <w:t>4</w:t>
            </w:r>
            <w:r>
              <w:rPr>
                <w:rFonts w:cs="Times New Roman"/>
                <w:b/>
                <w:bCs/>
                <w:lang w:val="en-US"/>
              </w:rPr>
              <w:t>、固</w:t>
            </w:r>
            <w:r>
              <w:rPr>
                <w:rFonts w:hint="eastAsia" w:ascii="宋体" w:hAnsi="宋体"/>
                <w:b/>
                <w:bCs/>
                <w:lang w:val="en-US"/>
              </w:rPr>
              <w:t>体废物</w:t>
            </w:r>
          </w:p>
          <w:p>
            <w:pPr>
              <w:pStyle w:val="5"/>
              <w:keepNext w:val="0"/>
              <w:keepLines w:val="0"/>
              <w:pageBreakBefore w:val="0"/>
              <w:widowControl w:val="0"/>
              <w:kinsoku/>
              <w:wordWrap/>
              <w:overflowPunct/>
              <w:topLinePunct w:val="0"/>
              <w:bidi w:val="0"/>
              <w:spacing w:line="500" w:lineRule="exact"/>
              <w:ind w:firstLine="514" w:firstLineChars="200"/>
              <w:jc w:val="both"/>
              <w:textAlignment w:val="auto"/>
              <w:rPr>
                <w:rFonts w:eastAsia="宋体" w:cs="Times New Roman"/>
                <w:b/>
                <w:bCs/>
                <w:lang w:val="en-US"/>
              </w:rPr>
            </w:pPr>
            <w:r>
              <w:rPr>
                <w:rFonts w:hint="eastAsia" w:eastAsia="宋体" w:cs="Times New Roman"/>
                <w:b/>
                <w:bCs/>
                <w:lang w:val="en-US" w:eastAsia="zh-CN"/>
              </w:rPr>
              <w:t>4</w:t>
            </w:r>
            <w:r>
              <w:rPr>
                <w:rFonts w:eastAsia="宋体" w:cs="Times New Roman"/>
                <w:b/>
                <w:bCs/>
                <w:lang w:val="en-US"/>
              </w:rPr>
              <w:t>.1固体废物产生情况及处置</w:t>
            </w:r>
          </w:p>
          <w:p>
            <w:pPr>
              <w:keepNext w:val="0"/>
              <w:keepLines w:val="0"/>
              <w:pageBreakBefore w:val="0"/>
              <w:widowControl w:val="0"/>
              <w:kinsoku/>
              <w:wordWrap/>
              <w:overflowPunct/>
              <w:topLinePunct w:val="0"/>
              <w:autoSpaceDE/>
              <w:autoSpaceDN/>
              <w:bidi w:val="0"/>
              <w:spacing w:line="500" w:lineRule="exact"/>
              <w:ind w:firstLine="480" w:firstLineChars="200"/>
              <w:jc w:val="left"/>
              <w:textAlignment w:val="auto"/>
            </w:pPr>
            <w:r>
              <w:rPr>
                <w:rFonts w:hint="eastAsia"/>
                <w:lang w:val="en-US"/>
              </w:rPr>
              <w:t>本项目固废包括一般固体废物和危险废物。</w:t>
            </w:r>
            <w:r>
              <w:rPr>
                <w:rFonts w:cs="Times New Roman"/>
              </w:rPr>
              <w:t>一般固体废物</w:t>
            </w:r>
            <w:r>
              <w:rPr>
                <w:rFonts w:cs="Times New Roman"/>
                <w:kern w:val="24"/>
              </w:rPr>
              <w:t>主要为</w:t>
            </w:r>
            <w:r>
              <w:rPr>
                <w:rFonts w:hint="eastAsia" w:cs="Times New Roman"/>
                <w:color w:val="auto"/>
                <w:spacing w:val="0"/>
                <w:sz w:val="24"/>
                <w:szCs w:val="32"/>
                <w:lang w:eastAsia="zh-CN"/>
              </w:rPr>
              <w:t>布袋除尘器除尘灰、沉淀池泥砂和职工生活垃圾</w:t>
            </w:r>
            <w:r>
              <w:rPr>
                <w:rFonts w:cs="Times New Roman"/>
                <w:szCs w:val="32"/>
              </w:rPr>
              <w:t>；危险废物</w:t>
            </w:r>
            <w:r>
              <w:rPr>
                <w:rFonts w:hint="eastAsia" w:cs="Times New Roman"/>
                <w:szCs w:val="32"/>
              </w:rPr>
              <w:t>主要</w:t>
            </w:r>
            <w:r>
              <w:rPr>
                <w:rFonts w:cs="Times New Roman"/>
                <w:szCs w:val="32"/>
              </w:rPr>
              <w:t>为</w:t>
            </w:r>
            <w:r>
              <w:rPr>
                <w:rFonts w:hint="eastAsia"/>
              </w:rPr>
              <w:t>废润滑油、废油桶及</w:t>
            </w:r>
            <w:r>
              <w:rPr>
                <w:rFonts w:hint="eastAsia" w:cs="Times New Roman"/>
              </w:rPr>
              <w:t>废旧含油抹布及劳保用品</w:t>
            </w:r>
            <w:r>
              <w:rPr>
                <w:rFonts w:hint="eastAsia"/>
              </w:rPr>
              <w:t>。</w:t>
            </w:r>
          </w:p>
          <w:p>
            <w:pPr>
              <w:keepNext w:val="0"/>
              <w:keepLines w:val="0"/>
              <w:pageBreakBefore w:val="0"/>
              <w:widowControl w:val="0"/>
              <w:kinsoku/>
              <w:wordWrap/>
              <w:overflowPunct/>
              <w:topLinePunct w:val="0"/>
              <w:autoSpaceDE/>
              <w:autoSpaceDN/>
              <w:bidi w:val="0"/>
              <w:spacing w:line="500" w:lineRule="exact"/>
              <w:ind w:firstLine="480" w:firstLineChars="200"/>
              <w:jc w:val="left"/>
              <w:textAlignment w:val="auto"/>
              <w:rPr>
                <w:rFonts w:cs="Times New Roman"/>
                <w:color w:val="auto"/>
                <w:kern w:val="24"/>
                <w:szCs w:val="22"/>
              </w:rPr>
            </w:pPr>
            <w:r>
              <w:rPr>
                <w:rFonts w:hint="eastAsia" w:cs="Times New Roman"/>
                <w:color w:val="auto"/>
                <w:kern w:val="24"/>
                <w:szCs w:val="22"/>
              </w:rPr>
              <w:t>⑴</w:t>
            </w:r>
            <w:r>
              <w:rPr>
                <w:rFonts w:cs="Times New Roman"/>
                <w:color w:val="auto"/>
                <w:kern w:val="24"/>
                <w:szCs w:val="22"/>
              </w:rPr>
              <w:t>一般固体废物：</w:t>
            </w:r>
          </w:p>
          <w:p>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jc w:val="left"/>
              <w:textAlignment w:val="auto"/>
              <w:outlineLvl w:val="9"/>
              <w:rPr>
                <w:rFonts w:hint="default" w:ascii="Times New Roman" w:hAnsi="Times New Roman" w:cs="Times New Roman"/>
                <w:color w:val="auto"/>
                <w:sz w:val="24"/>
                <w:szCs w:val="32"/>
              </w:rPr>
            </w:pPr>
            <w:r>
              <w:rPr>
                <w:rFonts w:hint="eastAsia" w:cs="Times New Roman"/>
                <w:color w:val="auto"/>
                <w:spacing w:val="0"/>
                <w:sz w:val="24"/>
                <w:szCs w:val="32"/>
                <w:lang w:eastAsia="zh-CN"/>
              </w:rPr>
              <w:t>布袋除尘器除尘灰（一般固体废物代码</w:t>
            </w:r>
            <w:r>
              <w:rPr>
                <w:rFonts w:hint="eastAsia" w:cs="Times New Roman"/>
                <w:color w:val="auto"/>
                <w:spacing w:val="0"/>
                <w:sz w:val="24"/>
                <w:szCs w:val="32"/>
                <w:lang w:val="en-US" w:eastAsia="zh-CN"/>
              </w:rPr>
              <w:t>900-999-66</w:t>
            </w:r>
            <w:r>
              <w:rPr>
                <w:rFonts w:hint="eastAsia" w:cs="Times New Roman"/>
                <w:color w:val="auto"/>
                <w:spacing w:val="0"/>
                <w:sz w:val="24"/>
                <w:szCs w:val="32"/>
                <w:lang w:eastAsia="zh-CN"/>
              </w:rPr>
              <w:t>）</w:t>
            </w:r>
            <w:r>
              <w:rPr>
                <w:rFonts w:hint="eastAsia" w:cs="Times New Roman"/>
                <w:color w:val="auto"/>
                <w:kern w:val="24"/>
              </w:rPr>
              <w:t>，产生量为</w:t>
            </w:r>
            <w:r>
              <w:rPr>
                <w:rFonts w:hint="eastAsia" w:cs="Times New Roman"/>
                <w:color w:val="auto"/>
                <w:spacing w:val="0"/>
                <w:sz w:val="24"/>
                <w:szCs w:val="32"/>
                <w:lang w:val="en-US" w:eastAsia="zh-CN"/>
              </w:rPr>
              <w:t>598.8t/a</w:t>
            </w:r>
            <w:r>
              <w:rPr>
                <w:rFonts w:hint="eastAsia" w:eastAsia="宋体" w:cs="Times New Roman"/>
                <w:color w:val="auto"/>
                <w:spacing w:val="0"/>
                <w:sz w:val="24"/>
                <w:szCs w:val="32"/>
                <w:lang w:eastAsia="zh-CN"/>
              </w:rPr>
              <w:t>，</w:t>
            </w:r>
            <w:r>
              <w:rPr>
                <w:rFonts w:hint="eastAsia" w:cs="Times New Roman"/>
                <w:color w:val="auto"/>
                <w:sz w:val="24"/>
                <w:szCs w:val="24"/>
                <w:lang w:eastAsia="zh-CN"/>
              </w:rPr>
              <w:t>集中收</w:t>
            </w:r>
            <w:r>
              <w:rPr>
                <w:rFonts w:hint="eastAsia" w:cs="Times New Roman"/>
                <w:color w:val="auto"/>
                <w:sz w:val="24"/>
                <w:szCs w:val="24"/>
                <w:highlight w:val="none"/>
                <w:lang w:eastAsia="zh-CN"/>
              </w:rPr>
              <w:t>集用于修建高速公路</w:t>
            </w:r>
            <w:r>
              <w:rPr>
                <w:rFonts w:hint="eastAsia" w:cs="Times New Roman"/>
                <w:color w:val="auto"/>
                <w:spacing w:val="0"/>
                <w:sz w:val="24"/>
                <w:szCs w:val="32"/>
                <w:lang w:eastAsia="zh-CN"/>
              </w:rPr>
              <w:t>；沉淀池泥砂（</w:t>
            </w:r>
            <w:r>
              <w:rPr>
                <w:rFonts w:hint="eastAsia" w:cs="Times New Roman"/>
                <w:color w:val="auto"/>
                <w:spacing w:val="0"/>
                <w:sz w:val="24"/>
                <w:szCs w:val="32"/>
                <w:lang w:val="en-US" w:eastAsia="zh-CN"/>
              </w:rPr>
              <w:t>一般固体废物代码900-999-61</w:t>
            </w:r>
            <w:r>
              <w:rPr>
                <w:rFonts w:hint="eastAsia" w:cs="Times New Roman"/>
                <w:color w:val="auto"/>
                <w:spacing w:val="0"/>
                <w:sz w:val="24"/>
                <w:szCs w:val="32"/>
                <w:lang w:eastAsia="zh-CN"/>
              </w:rPr>
              <w:t>）</w:t>
            </w:r>
            <w:r>
              <w:rPr>
                <w:rFonts w:hint="eastAsia" w:cs="Times New Roman"/>
                <w:color w:val="auto"/>
                <w:spacing w:val="0"/>
                <w:sz w:val="24"/>
                <w:szCs w:val="32"/>
                <w:lang w:val="en-US" w:eastAsia="zh-CN"/>
              </w:rPr>
              <w:t>11.8t/a</w:t>
            </w:r>
            <w:r>
              <w:rPr>
                <w:rFonts w:hint="eastAsia" w:cs="Times New Roman"/>
                <w:color w:val="auto"/>
                <w:spacing w:val="0"/>
                <w:kern w:val="24"/>
                <w:sz w:val="24"/>
                <w:lang w:eastAsia="zh-CN"/>
              </w:rPr>
              <w:t>，</w:t>
            </w:r>
            <w:r>
              <w:rPr>
                <w:rFonts w:hint="eastAsia" w:cs="Times New Roman"/>
                <w:color w:val="auto"/>
                <w:sz w:val="24"/>
                <w:szCs w:val="24"/>
                <w:lang w:eastAsia="zh-CN"/>
              </w:rPr>
              <w:t>集中收</w:t>
            </w:r>
            <w:r>
              <w:rPr>
                <w:rFonts w:hint="eastAsia" w:cs="Times New Roman"/>
                <w:color w:val="auto"/>
                <w:sz w:val="24"/>
                <w:szCs w:val="24"/>
                <w:highlight w:val="none"/>
                <w:lang w:eastAsia="zh-CN"/>
              </w:rPr>
              <w:t>集用于修建高速公路</w:t>
            </w:r>
            <w:r>
              <w:rPr>
                <w:rFonts w:hint="eastAsia" w:cs="Times New Roman"/>
                <w:color w:val="auto"/>
                <w:spacing w:val="0"/>
                <w:kern w:val="24"/>
                <w:sz w:val="24"/>
                <w:lang w:eastAsia="zh-CN"/>
              </w:rPr>
              <w:t>。</w:t>
            </w:r>
          </w:p>
          <w:p>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jc w:val="left"/>
              <w:textAlignment w:val="auto"/>
              <w:outlineLvl w:val="9"/>
              <w:rPr>
                <w:rFonts w:hint="default" w:ascii="Times New Roman" w:hAnsi="Times New Roman" w:cs="Times New Roman"/>
                <w:color w:val="auto"/>
                <w:sz w:val="24"/>
                <w:szCs w:val="32"/>
              </w:rPr>
            </w:pPr>
            <w:r>
              <w:rPr>
                <w:rFonts w:hint="default" w:ascii="Times New Roman" w:hAnsi="Times New Roman" w:cs="Times New Roman"/>
                <w:color w:val="auto"/>
                <w:sz w:val="24"/>
                <w:szCs w:val="32"/>
              </w:rPr>
              <w:t>生活垃圾：职工生活垃圾主要为废纸、废塑料袋等</w:t>
            </w:r>
            <w:r>
              <w:rPr>
                <w:rFonts w:hint="eastAsia" w:cs="Times New Roman"/>
                <w:color w:val="auto"/>
                <w:kern w:val="24"/>
              </w:rPr>
              <w:t>产生量为</w:t>
            </w:r>
            <w:r>
              <w:rPr>
                <w:rFonts w:hint="eastAsia" w:cs="Times New Roman"/>
                <w:color w:val="auto"/>
                <w:spacing w:val="0"/>
                <w:sz w:val="24"/>
                <w:szCs w:val="32"/>
                <w:lang w:val="en-US" w:eastAsia="zh-CN"/>
              </w:rPr>
              <w:t>5.6t/a</w:t>
            </w:r>
            <w:r>
              <w:rPr>
                <w:rFonts w:hint="default" w:ascii="Times New Roman" w:hAnsi="Times New Roman" w:cs="Times New Roman"/>
                <w:color w:val="auto"/>
                <w:sz w:val="24"/>
                <w:szCs w:val="32"/>
              </w:rPr>
              <w:t>，实行袋装化，集中收集，送</w:t>
            </w:r>
            <w:r>
              <w:rPr>
                <w:rFonts w:hint="eastAsia" w:cs="Times New Roman"/>
                <w:color w:val="auto"/>
                <w:sz w:val="24"/>
                <w:szCs w:val="32"/>
                <w:lang w:eastAsia="zh-CN"/>
              </w:rPr>
              <w:t>往村指定</w:t>
            </w:r>
            <w:r>
              <w:rPr>
                <w:rFonts w:hint="default" w:ascii="Times New Roman" w:hAnsi="Times New Roman" w:cs="Times New Roman"/>
                <w:color w:val="auto"/>
                <w:sz w:val="24"/>
                <w:szCs w:val="32"/>
              </w:rPr>
              <w:t>地点统一处理。</w:t>
            </w:r>
          </w:p>
          <w:p>
            <w:pPr>
              <w:pStyle w:val="2"/>
              <w:keepNext w:val="0"/>
              <w:keepLines w:val="0"/>
              <w:pageBreakBefore w:val="0"/>
              <w:widowControl w:val="0"/>
              <w:kinsoku/>
              <w:wordWrap/>
              <w:overflowPunct/>
              <w:topLinePunct w:val="0"/>
              <w:bidi w:val="0"/>
              <w:spacing w:line="500" w:lineRule="exact"/>
              <w:ind w:firstLine="480" w:firstLineChars="200"/>
              <w:textAlignment w:val="auto"/>
              <w:rPr>
                <w:color w:val="auto"/>
              </w:rPr>
            </w:pPr>
            <w:r>
              <w:rPr>
                <w:rFonts w:hint="eastAsia"/>
                <w:color w:val="auto"/>
              </w:rPr>
              <w:t>⑵</w:t>
            </w:r>
            <w:r>
              <w:rPr>
                <w:color w:val="auto"/>
              </w:rPr>
              <w:t>危险废物：</w:t>
            </w:r>
          </w:p>
          <w:p>
            <w:pPr>
              <w:pStyle w:val="2"/>
              <w:keepNext w:val="0"/>
              <w:keepLines w:val="0"/>
              <w:pageBreakBefore w:val="0"/>
              <w:widowControl w:val="0"/>
              <w:kinsoku/>
              <w:wordWrap/>
              <w:overflowPunct/>
              <w:topLinePunct w:val="0"/>
              <w:bidi w:val="0"/>
              <w:spacing w:line="500" w:lineRule="exact"/>
              <w:ind w:firstLine="480" w:firstLineChars="200"/>
              <w:textAlignment w:val="auto"/>
              <w:outlineLvl w:val="9"/>
              <w:rPr>
                <w:rFonts w:hint="default" w:ascii="Times New Roman" w:hAnsi="Times New Roman" w:cs="Times New Roman"/>
                <w:color w:val="auto"/>
              </w:rPr>
            </w:pPr>
            <w:r>
              <w:rPr>
                <w:rFonts w:hint="eastAsia" w:eastAsia="宋体" w:cs="Times New Roman"/>
                <w:color w:val="auto"/>
                <w:spacing w:val="0"/>
                <w:sz w:val="24"/>
                <w:szCs w:val="32"/>
                <w:lang w:eastAsia="zh-CN"/>
              </w:rPr>
              <w:t>生产设备检修更换的</w:t>
            </w:r>
            <w:r>
              <w:rPr>
                <w:rFonts w:hint="eastAsia"/>
                <w:lang w:eastAsia="zh-CN"/>
              </w:rPr>
              <w:t>废润滑油</w:t>
            </w:r>
            <w:r>
              <w:t>（危废</w:t>
            </w:r>
            <w:r>
              <w:rPr>
                <w:rFonts w:hint="eastAsia" w:eastAsia="宋体" w:cs="Times New Roman"/>
                <w:color w:val="auto"/>
                <w:spacing w:val="0"/>
                <w:sz w:val="24"/>
                <w:szCs w:val="32"/>
                <w:lang w:eastAsia="zh-CN"/>
              </w:rPr>
              <w:t>代码HW08，900-21</w:t>
            </w:r>
            <w:r>
              <w:rPr>
                <w:rFonts w:hint="eastAsia" w:eastAsia="宋体" w:cs="Times New Roman"/>
                <w:color w:val="auto"/>
                <w:spacing w:val="0"/>
                <w:sz w:val="24"/>
                <w:szCs w:val="32"/>
                <w:lang w:val="en-US" w:eastAsia="zh-CN"/>
              </w:rPr>
              <w:t>7</w:t>
            </w:r>
            <w:r>
              <w:rPr>
                <w:rFonts w:hint="eastAsia" w:eastAsia="宋体" w:cs="Times New Roman"/>
                <w:color w:val="auto"/>
                <w:spacing w:val="0"/>
                <w:sz w:val="24"/>
                <w:szCs w:val="32"/>
                <w:lang w:eastAsia="zh-CN"/>
              </w:rPr>
              <w:t>-08），废油桶</w:t>
            </w:r>
            <w:r>
              <w:t>（危废</w:t>
            </w:r>
            <w:r>
              <w:rPr>
                <w:rFonts w:hint="eastAsia" w:eastAsia="宋体" w:cs="Times New Roman"/>
                <w:color w:val="auto"/>
                <w:spacing w:val="0"/>
                <w:sz w:val="24"/>
                <w:szCs w:val="32"/>
                <w:lang w:eastAsia="zh-CN"/>
              </w:rPr>
              <w:t>代码HW08，900-</w:t>
            </w:r>
            <w:r>
              <w:rPr>
                <w:rFonts w:hint="eastAsia" w:eastAsia="宋体" w:cs="Times New Roman"/>
                <w:color w:val="auto"/>
                <w:spacing w:val="0"/>
                <w:sz w:val="24"/>
                <w:szCs w:val="32"/>
                <w:lang w:val="en-US" w:eastAsia="zh-CN"/>
              </w:rPr>
              <w:t>249</w:t>
            </w:r>
            <w:r>
              <w:rPr>
                <w:rFonts w:hint="eastAsia" w:eastAsia="宋体" w:cs="Times New Roman"/>
                <w:color w:val="auto"/>
                <w:spacing w:val="0"/>
                <w:sz w:val="24"/>
                <w:szCs w:val="32"/>
                <w:lang w:eastAsia="zh-CN"/>
              </w:rPr>
              <w:t>-08）、</w:t>
            </w:r>
            <w:r>
              <w:rPr>
                <w:rFonts w:hint="eastAsia" w:cs="Times New Roman"/>
                <w:b w:val="0"/>
                <w:bCs w:val="0"/>
                <w:color w:val="auto"/>
                <w:sz w:val="24"/>
                <w:szCs w:val="24"/>
                <w:lang w:eastAsia="zh-CN"/>
              </w:rPr>
              <w:t>废旧含油抹布及劳保用品</w:t>
            </w:r>
            <w:r>
              <w:rPr>
                <w:rFonts w:hint="eastAsia" w:eastAsia="宋体" w:cs="Times New Roman"/>
                <w:color w:val="auto"/>
                <w:spacing w:val="0"/>
                <w:sz w:val="24"/>
                <w:szCs w:val="32"/>
                <w:lang w:eastAsia="zh-CN"/>
              </w:rPr>
              <w:t>（危废代码HW49，900-041-49），</w:t>
            </w:r>
            <w:r>
              <w:rPr>
                <w:rFonts w:hint="default"/>
              </w:rPr>
              <w:t>暂存于</w:t>
            </w:r>
            <w:r>
              <w:rPr>
                <w:rFonts w:hint="eastAsia"/>
                <w:lang w:eastAsia="zh-CN"/>
              </w:rPr>
              <w:t>危险废物贮存间</w:t>
            </w:r>
            <w:r>
              <w:rPr>
                <w:rFonts w:hint="default"/>
              </w:rPr>
              <w:t>内，委托有资质的专业单位处置。</w:t>
            </w:r>
          </w:p>
          <w:p>
            <w:pPr>
              <w:keepNext w:val="0"/>
              <w:keepLines w:val="0"/>
              <w:pageBreakBefore w:val="0"/>
              <w:widowControl w:val="0"/>
              <w:kinsoku/>
              <w:wordWrap/>
              <w:overflowPunct/>
              <w:topLinePunct w:val="0"/>
              <w:bidi w:val="0"/>
              <w:spacing w:line="500" w:lineRule="exact"/>
              <w:ind w:firstLine="480" w:firstLineChars="200"/>
              <w:jc w:val="both"/>
              <w:textAlignment w:val="auto"/>
              <w:rPr>
                <w:rFonts w:hint="eastAsia" w:eastAsia="宋体" w:cs="Times New Roman"/>
                <w:b/>
                <w:bCs/>
                <w:sz w:val="21"/>
                <w:szCs w:val="21"/>
                <w:lang w:eastAsia="zh-CN"/>
              </w:rPr>
            </w:pPr>
            <w:r>
              <w:rPr>
                <w:rFonts w:cs="Times New Roman"/>
                <w:snapToGrid w:val="0"/>
                <w:szCs w:val="32"/>
              </w:rPr>
              <w:t>根据工程分析</w:t>
            </w:r>
            <w:r>
              <w:rPr>
                <w:rFonts w:cs="Times New Roman"/>
                <w:szCs w:val="32"/>
              </w:rPr>
              <w:t>，本项目危险废物产生及处置情况见下表</w:t>
            </w:r>
            <w:r>
              <w:rPr>
                <w:rFonts w:hint="eastAsia" w:cs="Times New Roman"/>
                <w:szCs w:val="32"/>
                <w:lang w:eastAsia="zh-C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cs="Times New Roman"/>
                <w:b/>
                <w:bCs/>
                <w:sz w:val="21"/>
                <w:szCs w:val="21"/>
              </w:rPr>
            </w:pPr>
            <w:r>
              <w:rPr>
                <w:rFonts w:cs="Times New Roman"/>
                <w:b/>
                <w:bCs/>
                <w:sz w:val="21"/>
                <w:szCs w:val="21"/>
              </w:rPr>
              <w:t>表</w:t>
            </w:r>
            <w:r>
              <w:rPr>
                <w:rFonts w:hint="eastAsia" w:cs="Times New Roman"/>
                <w:b/>
                <w:bCs/>
                <w:sz w:val="21"/>
                <w:szCs w:val="21"/>
                <w:lang w:val="en-US"/>
              </w:rPr>
              <w:t>4-</w:t>
            </w:r>
            <w:r>
              <w:rPr>
                <w:rFonts w:hint="eastAsia" w:cs="Times New Roman"/>
                <w:b/>
                <w:bCs/>
                <w:sz w:val="21"/>
                <w:szCs w:val="21"/>
                <w:lang w:val="en-US" w:eastAsia="zh-CN"/>
              </w:rPr>
              <w:t>16</w:t>
            </w:r>
            <w:r>
              <w:rPr>
                <w:rFonts w:cs="Times New Roman"/>
                <w:b/>
                <w:bCs/>
                <w:sz w:val="21"/>
                <w:szCs w:val="21"/>
              </w:rPr>
              <w:t>危险废物产生及处置一览表</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81"/>
              <w:gridCol w:w="776"/>
              <w:gridCol w:w="1196"/>
              <w:gridCol w:w="879"/>
              <w:gridCol w:w="638"/>
              <w:gridCol w:w="427"/>
              <w:gridCol w:w="636"/>
              <w:gridCol w:w="565"/>
              <w:gridCol w:w="527"/>
              <w:gridCol w:w="578"/>
              <w:gridCol w:w="7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427" w:type="dxa"/>
                  <w:vAlign w:val="center"/>
                </w:tcPr>
                <w:p>
                  <w:pPr>
                    <w:adjustRightInd w:val="0"/>
                    <w:spacing w:line="240" w:lineRule="auto"/>
                    <w:rPr>
                      <w:rFonts w:cs="Times New Roman"/>
                      <w:b/>
                      <w:bCs/>
                      <w:sz w:val="21"/>
                      <w:szCs w:val="21"/>
                    </w:rPr>
                  </w:pPr>
                  <w:r>
                    <w:rPr>
                      <w:rFonts w:cs="Times New Roman"/>
                      <w:b/>
                      <w:bCs/>
                      <w:sz w:val="21"/>
                      <w:szCs w:val="21"/>
                    </w:rPr>
                    <w:t>序号</w:t>
                  </w:r>
                </w:p>
              </w:tc>
              <w:tc>
                <w:tcPr>
                  <w:tcW w:w="681" w:type="dxa"/>
                  <w:vAlign w:val="center"/>
                </w:tcPr>
                <w:p>
                  <w:pPr>
                    <w:adjustRightInd w:val="0"/>
                    <w:spacing w:line="240" w:lineRule="auto"/>
                    <w:rPr>
                      <w:rFonts w:cs="Times New Roman"/>
                      <w:b/>
                      <w:bCs/>
                      <w:sz w:val="21"/>
                      <w:szCs w:val="21"/>
                    </w:rPr>
                  </w:pPr>
                  <w:r>
                    <w:rPr>
                      <w:rFonts w:cs="Times New Roman"/>
                      <w:b/>
                      <w:bCs/>
                      <w:sz w:val="21"/>
                      <w:szCs w:val="21"/>
                    </w:rPr>
                    <w:t>危险废物名称</w:t>
                  </w:r>
                </w:p>
              </w:tc>
              <w:tc>
                <w:tcPr>
                  <w:tcW w:w="776" w:type="dxa"/>
                  <w:vAlign w:val="center"/>
                </w:tcPr>
                <w:p>
                  <w:pPr>
                    <w:adjustRightInd w:val="0"/>
                    <w:spacing w:line="240" w:lineRule="auto"/>
                    <w:rPr>
                      <w:rFonts w:cs="Times New Roman"/>
                      <w:b/>
                      <w:bCs/>
                      <w:sz w:val="21"/>
                      <w:szCs w:val="21"/>
                    </w:rPr>
                  </w:pPr>
                  <w:r>
                    <w:rPr>
                      <w:rFonts w:cs="Times New Roman"/>
                      <w:b/>
                      <w:bCs/>
                      <w:sz w:val="21"/>
                      <w:szCs w:val="21"/>
                    </w:rPr>
                    <w:t>危险废物类别</w:t>
                  </w:r>
                </w:p>
              </w:tc>
              <w:tc>
                <w:tcPr>
                  <w:tcW w:w="1196" w:type="dxa"/>
                  <w:vAlign w:val="center"/>
                </w:tcPr>
                <w:p>
                  <w:pPr>
                    <w:adjustRightInd w:val="0"/>
                    <w:spacing w:line="240" w:lineRule="auto"/>
                    <w:rPr>
                      <w:rFonts w:cs="Times New Roman"/>
                      <w:b/>
                      <w:bCs/>
                      <w:sz w:val="21"/>
                      <w:szCs w:val="21"/>
                    </w:rPr>
                  </w:pPr>
                  <w:r>
                    <w:rPr>
                      <w:rFonts w:cs="Times New Roman"/>
                      <w:b/>
                      <w:bCs/>
                      <w:sz w:val="21"/>
                      <w:szCs w:val="21"/>
                    </w:rPr>
                    <w:t>危险废物代码</w:t>
                  </w:r>
                </w:p>
              </w:tc>
              <w:tc>
                <w:tcPr>
                  <w:tcW w:w="879" w:type="dxa"/>
                  <w:vAlign w:val="center"/>
                </w:tcPr>
                <w:p>
                  <w:pPr>
                    <w:adjustRightInd w:val="0"/>
                    <w:spacing w:line="240" w:lineRule="auto"/>
                    <w:rPr>
                      <w:rFonts w:cs="Times New Roman"/>
                      <w:b/>
                      <w:bCs/>
                      <w:sz w:val="21"/>
                      <w:szCs w:val="21"/>
                    </w:rPr>
                  </w:pPr>
                  <w:r>
                    <w:rPr>
                      <w:rFonts w:cs="Times New Roman"/>
                      <w:b/>
                      <w:bCs/>
                      <w:sz w:val="21"/>
                      <w:szCs w:val="21"/>
                    </w:rPr>
                    <w:t>产生量</w:t>
                  </w:r>
                </w:p>
              </w:tc>
              <w:tc>
                <w:tcPr>
                  <w:tcW w:w="638" w:type="dxa"/>
                  <w:vAlign w:val="center"/>
                </w:tcPr>
                <w:p>
                  <w:pPr>
                    <w:adjustRightInd w:val="0"/>
                    <w:spacing w:line="240" w:lineRule="auto"/>
                    <w:rPr>
                      <w:rFonts w:cs="Times New Roman"/>
                      <w:b/>
                      <w:bCs/>
                      <w:sz w:val="21"/>
                      <w:szCs w:val="21"/>
                    </w:rPr>
                  </w:pPr>
                  <w:r>
                    <w:rPr>
                      <w:rFonts w:cs="Times New Roman"/>
                      <w:b/>
                      <w:bCs/>
                      <w:sz w:val="21"/>
                      <w:szCs w:val="21"/>
                    </w:rPr>
                    <w:t>产生工序及装置</w:t>
                  </w:r>
                </w:p>
              </w:tc>
              <w:tc>
                <w:tcPr>
                  <w:tcW w:w="427" w:type="dxa"/>
                  <w:vAlign w:val="center"/>
                </w:tcPr>
                <w:p>
                  <w:pPr>
                    <w:adjustRightInd w:val="0"/>
                    <w:spacing w:line="240" w:lineRule="auto"/>
                    <w:rPr>
                      <w:rFonts w:cs="Times New Roman"/>
                      <w:b/>
                      <w:bCs/>
                      <w:sz w:val="21"/>
                      <w:szCs w:val="21"/>
                    </w:rPr>
                  </w:pPr>
                  <w:r>
                    <w:rPr>
                      <w:rFonts w:cs="Times New Roman"/>
                      <w:b/>
                      <w:bCs/>
                      <w:sz w:val="21"/>
                      <w:szCs w:val="21"/>
                    </w:rPr>
                    <w:t>形态</w:t>
                  </w:r>
                </w:p>
              </w:tc>
              <w:tc>
                <w:tcPr>
                  <w:tcW w:w="636" w:type="dxa"/>
                  <w:vAlign w:val="center"/>
                </w:tcPr>
                <w:p>
                  <w:pPr>
                    <w:adjustRightInd w:val="0"/>
                    <w:spacing w:line="240" w:lineRule="auto"/>
                    <w:rPr>
                      <w:rFonts w:cs="Times New Roman"/>
                      <w:b/>
                      <w:bCs/>
                      <w:sz w:val="21"/>
                      <w:szCs w:val="21"/>
                    </w:rPr>
                  </w:pPr>
                  <w:r>
                    <w:rPr>
                      <w:rFonts w:cs="Times New Roman"/>
                      <w:b/>
                      <w:bCs/>
                      <w:sz w:val="21"/>
                      <w:szCs w:val="21"/>
                    </w:rPr>
                    <w:t>主要成分</w:t>
                  </w:r>
                </w:p>
              </w:tc>
              <w:tc>
                <w:tcPr>
                  <w:tcW w:w="565" w:type="dxa"/>
                  <w:vAlign w:val="center"/>
                </w:tcPr>
                <w:p>
                  <w:pPr>
                    <w:adjustRightInd w:val="0"/>
                    <w:spacing w:line="240" w:lineRule="auto"/>
                    <w:rPr>
                      <w:rFonts w:cs="Times New Roman"/>
                      <w:b/>
                      <w:bCs/>
                      <w:sz w:val="21"/>
                      <w:szCs w:val="21"/>
                    </w:rPr>
                  </w:pPr>
                  <w:r>
                    <w:rPr>
                      <w:rFonts w:cs="Times New Roman"/>
                      <w:b/>
                      <w:bCs/>
                      <w:sz w:val="21"/>
                      <w:szCs w:val="21"/>
                    </w:rPr>
                    <w:t>有害成分</w:t>
                  </w:r>
                </w:p>
              </w:tc>
              <w:tc>
                <w:tcPr>
                  <w:tcW w:w="527" w:type="dxa"/>
                  <w:vAlign w:val="center"/>
                </w:tcPr>
                <w:p>
                  <w:pPr>
                    <w:adjustRightInd w:val="0"/>
                    <w:spacing w:line="240" w:lineRule="auto"/>
                    <w:rPr>
                      <w:rFonts w:cs="Times New Roman"/>
                      <w:b/>
                      <w:bCs/>
                      <w:sz w:val="21"/>
                      <w:szCs w:val="21"/>
                    </w:rPr>
                  </w:pPr>
                  <w:r>
                    <w:rPr>
                      <w:rFonts w:cs="Times New Roman"/>
                      <w:b/>
                      <w:bCs/>
                      <w:sz w:val="21"/>
                      <w:szCs w:val="21"/>
                    </w:rPr>
                    <w:t>产废周期</w:t>
                  </w:r>
                </w:p>
              </w:tc>
              <w:tc>
                <w:tcPr>
                  <w:tcW w:w="578" w:type="dxa"/>
                  <w:vAlign w:val="center"/>
                </w:tcPr>
                <w:p>
                  <w:pPr>
                    <w:adjustRightInd w:val="0"/>
                    <w:spacing w:line="240" w:lineRule="auto"/>
                    <w:rPr>
                      <w:rFonts w:cs="Times New Roman"/>
                      <w:b/>
                      <w:bCs/>
                      <w:sz w:val="21"/>
                      <w:szCs w:val="21"/>
                    </w:rPr>
                  </w:pPr>
                  <w:r>
                    <w:rPr>
                      <w:rFonts w:cs="Times New Roman"/>
                      <w:b/>
                      <w:bCs/>
                      <w:sz w:val="21"/>
                      <w:szCs w:val="21"/>
                    </w:rPr>
                    <w:t>危险特性</w:t>
                  </w:r>
                </w:p>
              </w:tc>
              <w:tc>
                <w:tcPr>
                  <w:tcW w:w="771" w:type="dxa"/>
                  <w:vAlign w:val="center"/>
                </w:tcPr>
                <w:p>
                  <w:pPr>
                    <w:adjustRightInd w:val="0"/>
                    <w:spacing w:line="240" w:lineRule="auto"/>
                    <w:rPr>
                      <w:rFonts w:cs="Times New Roman"/>
                      <w:b/>
                      <w:bCs/>
                      <w:sz w:val="21"/>
                      <w:szCs w:val="21"/>
                    </w:rPr>
                  </w:pPr>
                  <w:r>
                    <w:rPr>
                      <w:rFonts w:cs="Times New Roman"/>
                      <w:b/>
                      <w:bCs/>
                      <w:sz w:val="21"/>
                      <w:szCs w:val="21"/>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427" w:type="dxa"/>
                  <w:vAlign w:val="center"/>
                </w:tcPr>
                <w:p>
                  <w:pPr>
                    <w:adjustRightInd w:val="0"/>
                    <w:spacing w:line="240" w:lineRule="auto"/>
                    <w:rPr>
                      <w:rFonts w:cs="Times New Roman"/>
                      <w:sz w:val="21"/>
                      <w:szCs w:val="21"/>
                    </w:rPr>
                  </w:pPr>
                  <w:r>
                    <w:rPr>
                      <w:rFonts w:cs="Times New Roman"/>
                      <w:sz w:val="21"/>
                      <w:szCs w:val="21"/>
                    </w:rPr>
                    <w:t>1</w:t>
                  </w:r>
                </w:p>
              </w:tc>
              <w:tc>
                <w:tcPr>
                  <w:tcW w:w="681" w:type="dxa"/>
                  <w:vAlign w:val="center"/>
                </w:tcPr>
                <w:p>
                  <w:pPr>
                    <w:adjustRightInd w:val="0"/>
                    <w:spacing w:line="240" w:lineRule="auto"/>
                    <w:rPr>
                      <w:rFonts w:cs="Times New Roman"/>
                      <w:sz w:val="21"/>
                      <w:szCs w:val="21"/>
                    </w:rPr>
                  </w:pPr>
                  <w:r>
                    <w:rPr>
                      <w:rFonts w:cs="Times New Roman"/>
                      <w:sz w:val="21"/>
                      <w:szCs w:val="21"/>
                    </w:rPr>
                    <w:t>废润滑油</w:t>
                  </w:r>
                </w:p>
              </w:tc>
              <w:tc>
                <w:tcPr>
                  <w:tcW w:w="776" w:type="dxa"/>
                  <w:vAlign w:val="center"/>
                </w:tcPr>
                <w:p>
                  <w:pPr>
                    <w:adjustRightInd w:val="0"/>
                    <w:spacing w:line="240" w:lineRule="auto"/>
                    <w:rPr>
                      <w:rFonts w:cs="Times New Roman"/>
                      <w:sz w:val="21"/>
                      <w:szCs w:val="21"/>
                    </w:rPr>
                  </w:pPr>
                  <w:r>
                    <w:rPr>
                      <w:rFonts w:cs="Times New Roman"/>
                      <w:sz w:val="21"/>
                      <w:szCs w:val="21"/>
                    </w:rPr>
                    <w:t>HW08</w:t>
                  </w:r>
                </w:p>
              </w:tc>
              <w:tc>
                <w:tcPr>
                  <w:tcW w:w="1196" w:type="dxa"/>
                  <w:vAlign w:val="center"/>
                </w:tcPr>
                <w:p>
                  <w:pPr>
                    <w:adjustRightInd w:val="0"/>
                    <w:spacing w:line="240" w:lineRule="auto"/>
                    <w:rPr>
                      <w:rFonts w:cs="Times New Roman"/>
                      <w:color w:val="auto"/>
                      <w:sz w:val="21"/>
                      <w:szCs w:val="21"/>
                    </w:rPr>
                  </w:pPr>
                  <w:r>
                    <w:rPr>
                      <w:rFonts w:cs="Times New Roman"/>
                      <w:color w:val="auto"/>
                      <w:sz w:val="21"/>
                      <w:szCs w:val="21"/>
                    </w:rPr>
                    <w:t>900-21</w:t>
                  </w:r>
                  <w:r>
                    <w:rPr>
                      <w:rFonts w:hint="eastAsia" w:cs="Times New Roman"/>
                      <w:color w:val="auto"/>
                      <w:sz w:val="21"/>
                      <w:szCs w:val="21"/>
                      <w:lang w:val="en-US"/>
                    </w:rPr>
                    <w:t>7</w:t>
                  </w:r>
                  <w:r>
                    <w:rPr>
                      <w:rFonts w:cs="Times New Roman"/>
                      <w:color w:val="auto"/>
                      <w:sz w:val="21"/>
                      <w:szCs w:val="21"/>
                    </w:rPr>
                    <w:t>-08</w:t>
                  </w:r>
                </w:p>
              </w:tc>
              <w:tc>
                <w:tcPr>
                  <w:tcW w:w="879" w:type="dxa"/>
                  <w:vAlign w:val="center"/>
                </w:tcPr>
                <w:p>
                  <w:pPr>
                    <w:spacing w:line="240" w:lineRule="auto"/>
                    <w:rPr>
                      <w:rFonts w:cs="Times New Roman"/>
                      <w:color w:val="auto"/>
                      <w:sz w:val="21"/>
                      <w:szCs w:val="21"/>
                    </w:rPr>
                  </w:pPr>
                  <w:r>
                    <w:rPr>
                      <w:rFonts w:hint="eastAsia" w:cs="Times New Roman"/>
                      <w:color w:val="auto"/>
                      <w:sz w:val="21"/>
                      <w:szCs w:val="21"/>
                      <w:lang w:val="en-US" w:eastAsia="zh-CN"/>
                    </w:rPr>
                    <w:t>0.03t</w:t>
                  </w:r>
                  <w:r>
                    <w:rPr>
                      <w:rFonts w:cs="Times New Roman"/>
                      <w:color w:val="auto"/>
                      <w:sz w:val="21"/>
                      <w:szCs w:val="21"/>
                    </w:rPr>
                    <w:t>/a</w:t>
                  </w:r>
                </w:p>
              </w:tc>
              <w:tc>
                <w:tcPr>
                  <w:tcW w:w="638" w:type="dxa"/>
                  <w:vAlign w:val="center"/>
                </w:tcPr>
                <w:p>
                  <w:pPr>
                    <w:adjustRightInd w:val="0"/>
                    <w:spacing w:line="240" w:lineRule="auto"/>
                    <w:rPr>
                      <w:rFonts w:cs="Times New Roman"/>
                      <w:sz w:val="21"/>
                      <w:szCs w:val="21"/>
                    </w:rPr>
                  </w:pPr>
                  <w:r>
                    <w:rPr>
                      <w:rFonts w:cs="Times New Roman"/>
                      <w:sz w:val="21"/>
                      <w:szCs w:val="21"/>
                    </w:rPr>
                    <w:t>机器</w:t>
                  </w:r>
                  <w:r>
                    <w:rPr>
                      <w:rFonts w:hint="eastAsia" w:cs="Times New Roman"/>
                      <w:sz w:val="21"/>
                      <w:szCs w:val="21"/>
                    </w:rPr>
                    <w:t>润滑</w:t>
                  </w:r>
                </w:p>
              </w:tc>
              <w:tc>
                <w:tcPr>
                  <w:tcW w:w="427" w:type="dxa"/>
                  <w:vAlign w:val="center"/>
                </w:tcPr>
                <w:p>
                  <w:pPr>
                    <w:adjustRightInd w:val="0"/>
                    <w:spacing w:line="240" w:lineRule="auto"/>
                    <w:rPr>
                      <w:rFonts w:cs="Times New Roman"/>
                      <w:sz w:val="21"/>
                      <w:szCs w:val="21"/>
                    </w:rPr>
                  </w:pPr>
                  <w:r>
                    <w:rPr>
                      <w:rFonts w:cs="Times New Roman"/>
                      <w:sz w:val="21"/>
                      <w:szCs w:val="21"/>
                    </w:rPr>
                    <w:t>液态</w:t>
                  </w:r>
                </w:p>
              </w:tc>
              <w:tc>
                <w:tcPr>
                  <w:tcW w:w="636" w:type="dxa"/>
                  <w:vAlign w:val="center"/>
                </w:tcPr>
                <w:p>
                  <w:pPr>
                    <w:adjustRightInd w:val="0"/>
                    <w:spacing w:line="240" w:lineRule="auto"/>
                    <w:rPr>
                      <w:rFonts w:cs="Times New Roman"/>
                      <w:sz w:val="21"/>
                      <w:szCs w:val="21"/>
                    </w:rPr>
                  </w:pPr>
                  <w:r>
                    <w:rPr>
                      <w:rFonts w:cs="Times New Roman"/>
                      <w:sz w:val="21"/>
                      <w:szCs w:val="21"/>
                    </w:rPr>
                    <w:t>矿物油</w:t>
                  </w:r>
                </w:p>
              </w:tc>
              <w:tc>
                <w:tcPr>
                  <w:tcW w:w="565" w:type="dxa"/>
                  <w:vAlign w:val="center"/>
                </w:tcPr>
                <w:p>
                  <w:pPr>
                    <w:adjustRightInd w:val="0"/>
                    <w:spacing w:line="240" w:lineRule="auto"/>
                    <w:rPr>
                      <w:rFonts w:cs="Times New Roman"/>
                      <w:sz w:val="21"/>
                      <w:szCs w:val="21"/>
                    </w:rPr>
                  </w:pPr>
                  <w:r>
                    <w:rPr>
                      <w:rFonts w:cs="Times New Roman"/>
                      <w:sz w:val="21"/>
                      <w:szCs w:val="21"/>
                    </w:rPr>
                    <w:t>矿物油</w:t>
                  </w:r>
                </w:p>
              </w:tc>
              <w:tc>
                <w:tcPr>
                  <w:tcW w:w="527" w:type="dxa"/>
                  <w:vAlign w:val="center"/>
                </w:tcPr>
                <w:p>
                  <w:pPr>
                    <w:adjustRightInd w:val="0"/>
                    <w:spacing w:line="240" w:lineRule="auto"/>
                    <w:rPr>
                      <w:rFonts w:cs="Times New Roman"/>
                      <w:sz w:val="21"/>
                      <w:szCs w:val="21"/>
                    </w:rPr>
                  </w:pPr>
                  <w:r>
                    <w:rPr>
                      <w:rFonts w:hint="eastAsia" w:cs="Times New Roman"/>
                      <w:sz w:val="21"/>
                      <w:szCs w:val="21"/>
                    </w:rPr>
                    <w:t>一年</w:t>
                  </w:r>
                </w:p>
              </w:tc>
              <w:tc>
                <w:tcPr>
                  <w:tcW w:w="578" w:type="dxa"/>
                  <w:vAlign w:val="center"/>
                </w:tcPr>
                <w:p>
                  <w:pPr>
                    <w:adjustRightInd w:val="0"/>
                    <w:spacing w:line="240" w:lineRule="auto"/>
                    <w:rPr>
                      <w:rFonts w:cs="Times New Roman"/>
                      <w:sz w:val="21"/>
                      <w:szCs w:val="21"/>
                    </w:rPr>
                  </w:pPr>
                  <w:r>
                    <w:rPr>
                      <w:rFonts w:cs="Times New Roman"/>
                      <w:sz w:val="21"/>
                      <w:szCs w:val="21"/>
                    </w:rPr>
                    <w:t>T，I</w:t>
                  </w:r>
                </w:p>
              </w:tc>
              <w:tc>
                <w:tcPr>
                  <w:tcW w:w="771" w:type="dxa"/>
                  <w:vMerge w:val="restart"/>
                  <w:vAlign w:val="center"/>
                </w:tcPr>
                <w:p>
                  <w:pPr>
                    <w:adjustRightInd w:val="0"/>
                    <w:spacing w:line="240" w:lineRule="auto"/>
                    <w:rPr>
                      <w:rFonts w:cs="Times New Roman"/>
                      <w:sz w:val="21"/>
                      <w:szCs w:val="21"/>
                    </w:rPr>
                  </w:pPr>
                  <w:r>
                    <w:rPr>
                      <w:rFonts w:cs="Times New Roman"/>
                      <w:sz w:val="21"/>
                      <w:szCs w:val="21"/>
                    </w:rPr>
                    <w:t>收集后</w:t>
                  </w:r>
                  <w:r>
                    <w:rPr>
                      <w:rFonts w:hint="eastAsia" w:cs="Times New Roman"/>
                      <w:sz w:val="21"/>
                      <w:szCs w:val="21"/>
                    </w:rPr>
                    <w:t>暂</w:t>
                  </w:r>
                  <w:r>
                    <w:rPr>
                      <w:rFonts w:cs="Times New Roman"/>
                      <w:sz w:val="21"/>
                      <w:szCs w:val="21"/>
                    </w:rPr>
                    <w:t>存</w:t>
                  </w:r>
                  <w:r>
                    <w:rPr>
                      <w:rFonts w:hint="eastAsia" w:cs="Times New Roman"/>
                      <w:sz w:val="21"/>
                      <w:szCs w:val="21"/>
                    </w:rPr>
                    <w:t>于</w:t>
                  </w:r>
                  <w:r>
                    <w:rPr>
                      <w:rFonts w:cs="Times New Roman"/>
                      <w:sz w:val="21"/>
                      <w:szCs w:val="21"/>
                    </w:rPr>
                    <w:t>危废贮存间，定期委托有资质的</w:t>
                  </w:r>
                  <w:r>
                    <w:rPr>
                      <w:rFonts w:hint="eastAsia" w:cs="Times New Roman"/>
                      <w:sz w:val="21"/>
                      <w:szCs w:val="21"/>
                    </w:rPr>
                    <w:t>专业</w:t>
                  </w:r>
                  <w:r>
                    <w:rPr>
                      <w:rFonts w:cs="Times New Roman"/>
                      <w:sz w:val="21"/>
                      <w:szCs w:val="21"/>
                    </w:rPr>
                    <w:t>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427" w:type="dxa"/>
                  <w:vAlign w:val="center"/>
                </w:tcPr>
                <w:p>
                  <w:pPr>
                    <w:adjustRightInd w:val="0"/>
                    <w:spacing w:line="240" w:lineRule="auto"/>
                    <w:rPr>
                      <w:rFonts w:cs="Times New Roman"/>
                      <w:sz w:val="21"/>
                      <w:szCs w:val="21"/>
                    </w:rPr>
                  </w:pPr>
                  <w:r>
                    <w:rPr>
                      <w:rFonts w:cs="Times New Roman"/>
                      <w:sz w:val="21"/>
                      <w:szCs w:val="21"/>
                    </w:rPr>
                    <w:t>2</w:t>
                  </w:r>
                </w:p>
              </w:tc>
              <w:tc>
                <w:tcPr>
                  <w:tcW w:w="681" w:type="dxa"/>
                  <w:vAlign w:val="center"/>
                </w:tcPr>
                <w:p>
                  <w:pPr>
                    <w:adjustRightInd w:val="0"/>
                    <w:spacing w:line="240" w:lineRule="auto"/>
                    <w:rPr>
                      <w:rFonts w:cs="Times New Roman"/>
                      <w:sz w:val="21"/>
                      <w:szCs w:val="21"/>
                    </w:rPr>
                  </w:pPr>
                  <w:r>
                    <w:rPr>
                      <w:rFonts w:cs="Times New Roman"/>
                      <w:sz w:val="21"/>
                      <w:szCs w:val="21"/>
                    </w:rPr>
                    <w:t>废油桶</w:t>
                  </w:r>
                </w:p>
              </w:tc>
              <w:tc>
                <w:tcPr>
                  <w:tcW w:w="776" w:type="dxa"/>
                  <w:vAlign w:val="center"/>
                </w:tcPr>
                <w:p>
                  <w:pPr>
                    <w:adjustRightInd w:val="0"/>
                    <w:spacing w:line="240" w:lineRule="auto"/>
                    <w:rPr>
                      <w:rFonts w:hint="default" w:eastAsia="宋体" w:cs="Times New Roman"/>
                      <w:sz w:val="21"/>
                      <w:szCs w:val="21"/>
                      <w:lang w:val="en-US" w:eastAsia="zh-CN"/>
                    </w:rPr>
                  </w:pPr>
                  <w:r>
                    <w:rPr>
                      <w:rFonts w:cs="Times New Roman"/>
                      <w:sz w:val="21"/>
                      <w:szCs w:val="21"/>
                    </w:rPr>
                    <w:t>HW</w:t>
                  </w:r>
                  <w:r>
                    <w:rPr>
                      <w:rFonts w:hint="eastAsia" w:cs="Times New Roman"/>
                      <w:sz w:val="21"/>
                      <w:szCs w:val="21"/>
                      <w:lang w:val="en-US" w:eastAsia="zh-CN"/>
                    </w:rPr>
                    <w:t>08</w:t>
                  </w:r>
                </w:p>
              </w:tc>
              <w:tc>
                <w:tcPr>
                  <w:tcW w:w="1196" w:type="dxa"/>
                  <w:vAlign w:val="center"/>
                </w:tcPr>
                <w:p>
                  <w:pPr>
                    <w:adjustRightInd w:val="0"/>
                    <w:spacing w:line="240" w:lineRule="auto"/>
                    <w:rPr>
                      <w:rFonts w:hint="default" w:eastAsia="宋体" w:cs="Times New Roman"/>
                      <w:color w:val="auto"/>
                      <w:sz w:val="21"/>
                      <w:szCs w:val="21"/>
                      <w:lang w:val="en-US" w:eastAsia="zh-CN"/>
                    </w:rPr>
                  </w:pPr>
                  <w:r>
                    <w:rPr>
                      <w:rFonts w:cs="Times New Roman"/>
                      <w:color w:val="auto"/>
                      <w:sz w:val="21"/>
                      <w:szCs w:val="21"/>
                    </w:rPr>
                    <w:t>900-</w:t>
                  </w:r>
                  <w:r>
                    <w:rPr>
                      <w:rFonts w:hint="eastAsia" w:cs="Times New Roman"/>
                      <w:color w:val="auto"/>
                      <w:sz w:val="21"/>
                      <w:szCs w:val="21"/>
                      <w:lang w:val="en-US" w:eastAsia="zh-CN"/>
                    </w:rPr>
                    <w:t>249</w:t>
                  </w:r>
                  <w:r>
                    <w:rPr>
                      <w:rFonts w:cs="Times New Roman"/>
                      <w:color w:val="auto"/>
                      <w:sz w:val="21"/>
                      <w:szCs w:val="21"/>
                    </w:rPr>
                    <w:t>-</w:t>
                  </w:r>
                  <w:r>
                    <w:rPr>
                      <w:rFonts w:hint="eastAsia" w:cs="Times New Roman"/>
                      <w:color w:val="auto"/>
                      <w:sz w:val="21"/>
                      <w:szCs w:val="21"/>
                      <w:lang w:val="en-US" w:eastAsia="zh-CN"/>
                    </w:rPr>
                    <w:t>08</w:t>
                  </w:r>
                </w:p>
              </w:tc>
              <w:tc>
                <w:tcPr>
                  <w:tcW w:w="879" w:type="dxa"/>
                  <w:vAlign w:val="center"/>
                </w:tcPr>
                <w:p>
                  <w:pPr>
                    <w:spacing w:line="240" w:lineRule="auto"/>
                    <w:rPr>
                      <w:rFonts w:hint="default" w:cs="Times New Roman"/>
                      <w:color w:val="auto"/>
                      <w:sz w:val="21"/>
                      <w:szCs w:val="21"/>
                      <w:lang w:val="en-US"/>
                    </w:rPr>
                  </w:pPr>
                  <w:r>
                    <w:rPr>
                      <w:rFonts w:hint="eastAsia" w:cs="Times New Roman"/>
                      <w:color w:val="auto"/>
                      <w:sz w:val="21"/>
                      <w:szCs w:val="21"/>
                      <w:lang w:val="en-US" w:eastAsia="zh-CN"/>
                    </w:rPr>
                    <w:t>0.068t</w:t>
                  </w:r>
                  <w:r>
                    <w:rPr>
                      <w:rFonts w:cs="Times New Roman"/>
                      <w:color w:val="auto"/>
                      <w:sz w:val="21"/>
                      <w:szCs w:val="21"/>
                    </w:rPr>
                    <w:t>/a</w:t>
                  </w:r>
                </w:p>
              </w:tc>
              <w:tc>
                <w:tcPr>
                  <w:tcW w:w="638" w:type="dxa"/>
                  <w:vAlign w:val="center"/>
                </w:tcPr>
                <w:p>
                  <w:pPr>
                    <w:adjustRightInd w:val="0"/>
                    <w:spacing w:line="240" w:lineRule="auto"/>
                    <w:rPr>
                      <w:rFonts w:cs="Times New Roman"/>
                      <w:sz w:val="21"/>
                      <w:szCs w:val="21"/>
                    </w:rPr>
                  </w:pPr>
                  <w:r>
                    <w:rPr>
                      <w:rFonts w:cs="Times New Roman"/>
                      <w:sz w:val="21"/>
                      <w:szCs w:val="21"/>
                    </w:rPr>
                    <w:t>机器检修</w:t>
                  </w:r>
                </w:p>
              </w:tc>
              <w:tc>
                <w:tcPr>
                  <w:tcW w:w="427" w:type="dxa"/>
                  <w:vAlign w:val="center"/>
                </w:tcPr>
                <w:p>
                  <w:pPr>
                    <w:adjustRightInd w:val="0"/>
                    <w:spacing w:line="240" w:lineRule="auto"/>
                    <w:rPr>
                      <w:rFonts w:cs="Times New Roman"/>
                      <w:sz w:val="21"/>
                      <w:szCs w:val="21"/>
                    </w:rPr>
                  </w:pPr>
                  <w:r>
                    <w:rPr>
                      <w:rFonts w:cs="Times New Roman"/>
                      <w:sz w:val="21"/>
                      <w:szCs w:val="21"/>
                    </w:rPr>
                    <w:t>固态</w:t>
                  </w:r>
                </w:p>
              </w:tc>
              <w:tc>
                <w:tcPr>
                  <w:tcW w:w="636" w:type="dxa"/>
                  <w:vAlign w:val="center"/>
                </w:tcPr>
                <w:p>
                  <w:pPr>
                    <w:adjustRightInd w:val="0"/>
                    <w:spacing w:line="240" w:lineRule="auto"/>
                    <w:rPr>
                      <w:rFonts w:cs="Times New Roman"/>
                      <w:sz w:val="21"/>
                      <w:szCs w:val="21"/>
                    </w:rPr>
                  </w:pPr>
                  <w:r>
                    <w:rPr>
                      <w:rFonts w:cs="Times New Roman"/>
                      <w:sz w:val="21"/>
                      <w:szCs w:val="21"/>
                    </w:rPr>
                    <w:t>沾油铁桶</w:t>
                  </w:r>
                </w:p>
              </w:tc>
              <w:tc>
                <w:tcPr>
                  <w:tcW w:w="565" w:type="dxa"/>
                  <w:vAlign w:val="center"/>
                </w:tcPr>
                <w:p>
                  <w:pPr>
                    <w:adjustRightInd w:val="0"/>
                    <w:spacing w:line="240" w:lineRule="auto"/>
                    <w:rPr>
                      <w:rFonts w:cs="Times New Roman"/>
                      <w:sz w:val="21"/>
                      <w:szCs w:val="21"/>
                    </w:rPr>
                  </w:pPr>
                  <w:r>
                    <w:rPr>
                      <w:rFonts w:cs="Times New Roman"/>
                      <w:sz w:val="21"/>
                      <w:szCs w:val="21"/>
                    </w:rPr>
                    <w:t>矿物油</w:t>
                  </w:r>
                </w:p>
              </w:tc>
              <w:tc>
                <w:tcPr>
                  <w:tcW w:w="527" w:type="dxa"/>
                  <w:vAlign w:val="center"/>
                </w:tcPr>
                <w:p>
                  <w:pPr>
                    <w:adjustRightInd w:val="0"/>
                    <w:spacing w:line="240" w:lineRule="auto"/>
                    <w:rPr>
                      <w:rFonts w:cs="Times New Roman"/>
                      <w:sz w:val="21"/>
                      <w:szCs w:val="21"/>
                    </w:rPr>
                  </w:pPr>
                  <w:r>
                    <w:rPr>
                      <w:rFonts w:hint="eastAsia" w:cs="Times New Roman"/>
                      <w:sz w:val="21"/>
                      <w:szCs w:val="21"/>
                    </w:rPr>
                    <w:t>一</w:t>
                  </w:r>
                  <w:r>
                    <w:rPr>
                      <w:rFonts w:cs="Times New Roman"/>
                      <w:sz w:val="21"/>
                      <w:szCs w:val="21"/>
                    </w:rPr>
                    <w:t>年</w:t>
                  </w:r>
                </w:p>
              </w:tc>
              <w:tc>
                <w:tcPr>
                  <w:tcW w:w="578" w:type="dxa"/>
                  <w:vAlign w:val="center"/>
                </w:tcPr>
                <w:p>
                  <w:pPr>
                    <w:adjustRightInd w:val="0"/>
                    <w:spacing w:line="240" w:lineRule="auto"/>
                    <w:rPr>
                      <w:rFonts w:cs="Times New Roman"/>
                      <w:sz w:val="21"/>
                      <w:szCs w:val="21"/>
                    </w:rPr>
                  </w:pPr>
                  <w:r>
                    <w:rPr>
                      <w:rFonts w:cs="Times New Roman"/>
                      <w:sz w:val="21"/>
                      <w:szCs w:val="21"/>
                    </w:rPr>
                    <w:t>T，I</w:t>
                  </w:r>
                </w:p>
              </w:tc>
              <w:tc>
                <w:tcPr>
                  <w:tcW w:w="771" w:type="dxa"/>
                  <w:vMerge w:val="continue"/>
                  <w:vAlign w:val="center"/>
                </w:tcPr>
                <w:p>
                  <w:pPr>
                    <w:adjustRightInd w:val="0"/>
                    <w:spacing w:line="240" w:lineRule="auto"/>
                    <w:rPr>
                      <w:rFonts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427" w:type="dxa"/>
                  <w:vAlign w:val="center"/>
                </w:tcPr>
                <w:p>
                  <w:pPr>
                    <w:adjustRightInd w:val="0"/>
                    <w:spacing w:line="240" w:lineRule="auto"/>
                    <w:rPr>
                      <w:rFonts w:cs="Times New Roman"/>
                      <w:sz w:val="21"/>
                      <w:szCs w:val="21"/>
                      <w:lang w:val="en-US"/>
                    </w:rPr>
                  </w:pPr>
                  <w:r>
                    <w:rPr>
                      <w:rFonts w:hint="eastAsia" w:cs="Times New Roman"/>
                      <w:sz w:val="21"/>
                      <w:szCs w:val="21"/>
                      <w:lang w:val="en-US"/>
                    </w:rPr>
                    <w:t>3</w:t>
                  </w:r>
                </w:p>
              </w:tc>
              <w:tc>
                <w:tcPr>
                  <w:tcW w:w="681" w:type="dxa"/>
                  <w:vAlign w:val="center"/>
                </w:tcPr>
                <w:p>
                  <w:pPr>
                    <w:adjustRightInd w:val="0"/>
                    <w:spacing w:line="240" w:lineRule="auto"/>
                    <w:rPr>
                      <w:rFonts w:cs="Times New Roman"/>
                      <w:sz w:val="21"/>
                      <w:szCs w:val="21"/>
                    </w:rPr>
                  </w:pPr>
                  <w:r>
                    <w:rPr>
                      <w:rFonts w:hint="eastAsia" w:cs="Times New Roman"/>
                      <w:sz w:val="21"/>
                      <w:szCs w:val="21"/>
                    </w:rPr>
                    <w:t>废旧含油抹布及劳保用品</w:t>
                  </w:r>
                </w:p>
              </w:tc>
              <w:tc>
                <w:tcPr>
                  <w:tcW w:w="776" w:type="dxa"/>
                  <w:vAlign w:val="center"/>
                </w:tcPr>
                <w:p>
                  <w:pPr>
                    <w:adjustRightInd w:val="0"/>
                    <w:spacing w:line="240" w:lineRule="auto"/>
                    <w:rPr>
                      <w:rFonts w:cs="Times New Roman"/>
                      <w:sz w:val="21"/>
                      <w:szCs w:val="21"/>
                    </w:rPr>
                  </w:pPr>
                  <w:r>
                    <w:rPr>
                      <w:rFonts w:cs="Times New Roman"/>
                      <w:sz w:val="21"/>
                      <w:szCs w:val="21"/>
                    </w:rPr>
                    <w:t>HW49</w:t>
                  </w:r>
                </w:p>
              </w:tc>
              <w:tc>
                <w:tcPr>
                  <w:tcW w:w="1196" w:type="dxa"/>
                  <w:vAlign w:val="center"/>
                </w:tcPr>
                <w:p>
                  <w:pPr>
                    <w:adjustRightInd w:val="0"/>
                    <w:spacing w:line="240" w:lineRule="auto"/>
                    <w:rPr>
                      <w:rFonts w:cs="Times New Roman"/>
                      <w:color w:val="auto"/>
                      <w:sz w:val="21"/>
                      <w:szCs w:val="21"/>
                    </w:rPr>
                  </w:pPr>
                  <w:r>
                    <w:rPr>
                      <w:rFonts w:cs="Times New Roman"/>
                      <w:color w:val="auto"/>
                      <w:sz w:val="21"/>
                      <w:szCs w:val="21"/>
                    </w:rPr>
                    <w:t>900-041-49</w:t>
                  </w:r>
                </w:p>
              </w:tc>
              <w:tc>
                <w:tcPr>
                  <w:tcW w:w="879" w:type="dxa"/>
                  <w:vAlign w:val="center"/>
                </w:tcPr>
                <w:p>
                  <w:pPr>
                    <w:adjustRightInd w:val="0"/>
                    <w:spacing w:line="240" w:lineRule="auto"/>
                    <w:rPr>
                      <w:rFonts w:cs="Times New Roman"/>
                      <w:color w:val="auto"/>
                      <w:sz w:val="21"/>
                      <w:szCs w:val="21"/>
                      <w:lang w:val="en-US"/>
                    </w:rPr>
                  </w:pPr>
                  <w:r>
                    <w:rPr>
                      <w:rFonts w:hint="eastAsia" w:cs="Times New Roman"/>
                      <w:color w:val="auto"/>
                      <w:sz w:val="21"/>
                      <w:szCs w:val="21"/>
                      <w:lang w:val="en-US"/>
                    </w:rPr>
                    <w:t>0.</w:t>
                  </w:r>
                  <w:r>
                    <w:rPr>
                      <w:rFonts w:hint="eastAsia" w:cs="Times New Roman"/>
                      <w:color w:val="auto"/>
                      <w:sz w:val="21"/>
                      <w:szCs w:val="21"/>
                      <w:lang w:val="en-US" w:eastAsia="zh-CN"/>
                    </w:rPr>
                    <w:t>00</w:t>
                  </w:r>
                  <w:r>
                    <w:rPr>
                      <w:rFonts w:hint="eastAsia" w:cs="Times New Roman"/>
                      <w:color w:val="auto"/>
                      <w:sz w:val="21"/>
                      <w:szCs w:val="21"/>
                      <w:lang w:val="en-US"/>
                    </w:rPr>
                    <w:t>2</w:t>
                  </w:r>
                  <w:r>
                    <w:rPr>
                      <w:rFonts w:hint="eastAsia" w:cs="Times New Roman"/>
                      <w:color w:val="auto"/>
                      <w:sz w:val="21"/>
                      <w:szCs w:val="21"/>
                      <w:lang w:val="en-US" w:eastAsia="zh-CN"/>
                    </w:rPr>
                    <w:t>t</w:t>
                  </w:r>
                  <w:r>
                    <w:rPr>
                      <w:rFonts w:cs="Times New Roman"/>
                      <w:color w:val="auto"/>
                      <w:sz w:val="21"/>
                      <w:szCs w:val="21"/>
                    </w:rPr>
                    <w:t>/a</w:t>
                  </w:r>
                </w:p>
              </w:tc>
              <w:tc>
                <w:tcPr>
                  <w:tcW w:w="638" w:type="dxa"/>
                  <w:vAlign w:val="center"/>
                </w:tcPr>
                <w:p>
                  <w:pPr>
                    <w:adjustRightInd w:val="0"/>
                    <w:spacing w:line="240" w:lineRule="auto"/>
                    <w:rPr>
                      <w:rFonts w:cs="Times New Roman"/>
                      <w:sz w:val="21"/>
                      <w:szCs w:val="21"/>
                    </w:rPr>
                  </w:pPr>
                  <w:r>
                    <w:rPr>
                      <w:rFonts w:cs="Times New Roman"/>
                      <w:sz w:val="21"/>
                      <w:szCs w:val="21"/>
                    </w:rPr>
                    <w:t>机器检修</w:t>
                  </w:r>
                </w:p>
              </w:tc>
              <w:tc>
                <w:tcPr>
                  <w:tcW w:w="427" w:type="dxa"/>
                  <w:vAlign w:val="center"/>
                </w:tcPr>
                <w:p>
                  <w:pPr>
                    <w:adjustRightInd w:val="0"/>
                    <w:spacing w:line="240" w:lineRule="auto"/>
                    <w:rPr>
                      <w:rFonts w:cs="Times New Roman"/>
                      <w:sz w:val="21"/>
                      <w:szCs w:val="21"/>
                    </w:rPr>
                  </w:pPr>
                  <w:r>
                    <w:rPr>
                      <w:rFonts w:cs="Times New Roman"/>
                      <w:sz w:val="21"/>
                      <w:szCs w:val="21"/>
                    </w:rPr>
                    <w:t>固态</w:t>
                  </w:r>
                </w:p>
              </w:tc>
              <w:tc>
                <w:tcPr>
                  <w:tcW w:w="636" w:type="dxa"/>
                  <w:vAlign w:val="center"/>
                </w:tcPr>
                <w:p>
                  <w:pPr>
                    <w:adjustRightInd w:val="0"/>
                    <w:spacing w:line="240" w:lineRule="auto"/>
                    <w:rPr>
                      <w:rFonts w:cs="Times New Roman"/>
                      <w:sz w:val="21"/>
                      <w:szCs w:val="21"/>
                      <w:lang w:val="en-US"/>
                    </w:rPr>
                  </w:pPr>
                  <w:r>
                    <w:rPr>
                      <w:rFonts w:hint="eastAsia" w:cs="Times New Roman"/>
                      <w:sz w:val="21"/>
                      <w:szCs w:val="21"/>
                      <w:lang w:val="en-US"/>
                    </w:rPr>
                    <w:t>沾油抹布、手套等</w:t>
                  </w:r>
                </w:p>
              </w:tc>
              <w:tc>
                <w:tcPr>
                  <w:tcW w:w="565" w:type="dxa"/>
                  <w:vAlign w:val="center"/>
                </w:tcPr>
                <w:p>
                  <w:pPr>
                    <w:adjustRightInd w:val="0"/>
                    <w:spacing w:line="240" w:lineRule="auto"/>
                    <w:rPr>
                      <w:rFonts w:cs="Times New Roman"/>
                      <w:sz w:val="21"/>
                      <w:szCs w:val="21"/>
                    </w:rPr>
                  </w:pPr>
                  <w:r>
                    <w:rPr>
                      <w:rFonts w:cs="Times New Roman"/>
                      <w:sz w:val="21"/>
                      <w:szCs w:val="21"/>
                    </w:rPr>
                    <w:t>矿物油</w:t>
                  </w:r>
                </w:p>
              </w:tc>
              <w:tc>
                <w:tcPr>
                  <w:tcW w:w="527" w:type="dxa"/>
                  <w:vAlign w:val="center"/>
                </w:tcPr>
                <w:p>
                  <w:pPr>
                    <w:adjustRightInd w:val="0"/>
                    <w:spacing w:line="240" w:lineRule="auto"/>
                    <w:rPr>
                      <w:rFonts w:cs="Times New Roman"/>
                      <w:sz w:val="21"/>
                      <w:szCs w:val="21"/>
                    </w:rPr>
                  </w:pPr>
                  <w:r>
                    <w:rPr>
                      <w:rFonts w:hint="eastAsia" w:cs="Times New Roman"/>
                      <w:sz w:val="21"/>
                      <w:szCs w:val="21"/>
                    </w:rPr>
                    <w:t>一</w:t>
                  </w:r>
                  <w:r>
                    <w:rPr>
                      <w:rFonts w:cs="Times New Roman"/>
                      <w:sz w:val="21"/>
                      <w:szCs w:val="21"/>
                    </w:rPr>
                    <w:t>年</w:t>
                  </w:r>
                </w:p>
              </w:tc>
              <w:tc>
                <w:tcPr>
                  <w:tcW w:w="578" w:type="dxa"/>
                  <w:vAlign w:val="center"/>
                </w:tcPr>
                <w:p>
                  <w:pPr>
                    <w:adjustRightInd w:val="0"/>
                    <w:spacing w:line="240" w:lineRule="auto"/>
                    <w:rPr>
                      <w:sz w:val="21"/>
                      <w:szCs w:val="21"/>
                    </w:rPr>
                  </w:pPr>
                  <w:r>
                    <w:rPr>
                      <w:sz w:val="21"/>
                      <w:szCs w:val="21"/>
                    </w:rPr>
                    <w:t>T/In</w:t>
                  </w:r>
                </w:p>
              </w:tc>
              <w:tc>
                <w:tcPr>
                  <w:tcW w:w="771" w:type="dxa"/>
                  <w:vMerge w:val="continue"/>
                  <w:vAlign w:val="center"/>
                </w:tcPr>
                <w:p>
                  <w:pPr>
                    <w:adjustRightInd w:val="0"/>
                    <w:spacing w:line="240" w:lineRule="auto"/>
                    <w:rPr>
                      <w:rFonts w:cs="Times New Roman"/>
                      <w:sz w:val="21"/>
                      <w:szCs w:val="21"/>
                    </w:rPr>
                  </w:pPr>
                </w:p>
              </w:tc>
            </w:tr>
          </w:tbl>
          <w:p>
            <w:pPr>
              <w:keepNext w:val="0"/>
              <w:keepLines w:val="0"/>
              <w:pageBreakBefore w:val="0"/>
              <w:widowControl w:val="0"/>
              <w:kinsoku/>
              <w:wordWrap/>
              <w:overflowPunct/>
              <w:topLinePunct w:val="0"/>
              <w:autoSpaceDE w:val="0"/>
              <w:autoSpaceDN w:val="0"/>
              <w:bidi w:val="0"/>
              <w:spacing w:line="500" w:lineRule="exact"/>
              <w:ind w:firstLine="482" w:firstLineChars="200"/>
              <w:jc w:val="left"/>
              <w:textAlignment w:val="auto"/>
              <w:rPr>
                <w:b/>
                <w:bCs/>
                <w:lang w:val="en-US"/>
              </w:rPr>
            </w:pPr>
            <w:r>
              <w:rPr>
                <w:rFonts w:hint="eastAsia"/>
                <w:b/>
                <w:bCs/>
                <w:lang w:val="en-US" w:eastAsia="zh-CN"/>
              </w:rPr>
              <w:t>4</w:t>
            </w:r>
            <w:r>
              <w:rPr>
                <w:rFonts w:hint="eastAsia"/>
                <w:b/>
                <w:bCs/>
                <w:lang w:val="en-US"/>
              </w:rPr>
              <w:t>.2固体废物环境管理要求</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lang w:val="en-US"/>
              </w:rPr>
            </w:pPr>
            <w:r>
              <w:rPr>
                <w:rFonts w:hint="eastAsia"/>
                <w:lang w:val="en-US"/>
              </w:rPr>
              <w:t>⑴一般固体废物</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hint="eastAsia" w:eastAsia="宋体"/>
                <w:lang w:val="en-US" w:eastAsia="zh-CN"/>
              </w:rPr>
            </w:pPr>
            <w:r>
              <w:rPr>
                <w:rFonts w:hint="default"/>
                <w:lang w:eastAsia="zh-CN"/>
              </w:rPr>
              <w:t>一般固体废物执行</w:t>
            </w:r>
            <w:r>
              <w:rPr>
                <w:rFonts w:hint="default"/>
              </w:rPr>
              <w:t>《一般工业固体废物贮存</w:t>
            </w:r>
            <w:r>
              <w:rPr>
                <w:rFonts w:hint="eastAsia"/>
                <w:lang w:eastAsia="zh-CN"/>
              </w:rPr>
              <w:t>和填埋</w:t>
            </w:r>
            <w:r>
              <w:rPr>
                <w:rFonts w:hint="default"/>
              </w:rPr>
              <w:t>场污染控制标准》（GB</w:t>
            </w:r>
            <w:r>
              <w:rPr>
                <w:rFonts w:hint="eastAsia"/>
                <w:lang w:val="en-US" w:eastAsia="zh-CN"/>
              </w:rPr>
              <w:t>18599</w:t>
            </w:r>
            <w:r>
              <w:rPr>
                <w:rFonts w:hint="default"/>
              </w:rPr>
              <w:t>-</w:t>
            </w:r>
            <w:r>
              <w:rPr>
                <w:rFonts w:hint="eastAsia"/>
                <w:lang w:val="en-US" w:eastAsia="zh-CN"/>
              </w:rPr>
              <w:t>2020</w:t>
            </w:r>
            <w:r>
              <w:rPr>
                <w:rFonts w:hint="default"/>
              </w:rPr>
              <w:t>）</w:t>
            </w:r>
            <w:r>
              <w:rPr>
                <w:rFonts w:hint="eastAsia"/>
              </w:rPr>
              <w:t>对一般工业固废暂存的要求执行。</w:t>
            </w:r>
            <w:r>
              <w:rPr>
                <w:rFonts w:hint="eastAsia"/>
                <w:lang w:eastAsia="zh-CN"/>
              </w:rPr>
              <w:t>分类代码按照《一般固体废物分类与代码》（</w:t>
            </w:r>
            <w:r>
              <w:rPr>
                <w:rFonts w:hint="eastAsia"/>
                <w:lang w:val="en-US" w:eastAsia="zh-CN"/>
              </w:rPr>
              <w:t>GB/T39198-2020</w:t>
            </w:r>
            <w:r>
              <w:rPr>
                <w:rFonts w:hint="eastAsia"/>
                <w:lang w:eastAsia="zh-CN"/>
              </w:rPr>
              <w:t>）进行编码。</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pPr>
            <w:r>
              <w:rPr>
                <w:rFonts w:hint="eastAsia"/>
                <w:lang w:val="en-US"/>
              </w:rPr>
              <w:t>⑵危险废物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cs="Times New Roman"/>
                <w:color w:val="auto"/>
                <w:sz w:val="24"/>
              </w:rPr>
            </w:pPr>
            <w:r>
              <w:rPr>
                <w:rFonts w:hint="eastAsia"/>
                <w:lang w:eastAsia="zh-CN"/>
              </w:rPr>
              <w:t>废润滑油、</w:t>
            </w:r>
            <w:r>
              <w:rPr>
                <w:rFonts w:hint="eastAsia" w:eastAsia="宋体" w:cs="Times New Roman"/>
                <w:color w:val="auto"/>
                <w:spacing w:val="0"/>
                <w:sz w:val="24"/>
                <w:szCs w:val="32"/>
                <w:lang w:eastAsia="zh-CN"/>
              </w:rPr>
              <w:t>废油桶、</w:t>
            </w:r>
            <w:r>
              <w:rPr>
                <w:rFonts w:hint="eastAsia" w:cs="Times New Roman"/>
                <w:b w:val="0"/>
                <w:bCs w:val="0"/>
                <w:color w:val="auto"/>
                <w:sz w:val="24"/>
                <w:szCs w:val="24"/>
                <w:lang w:eastAsia="zh-CN"/>
              </w:rPr>
              <w:t>废旧含油抹布及劳保用品均属于危废，分类采用专门的容器收集后，暂存于危险废物贮存间内，定期交由有资质的危废单位处置。建设单位应根据废物特性设置符合《危险废物贮存污染控制标(GB18597-2001)及2013年修改单、《危险废物收集贮存运输技术规范》(HJ2025-2012)及相关法律法规要求的危险废物暂存场所。</w:t>
            </w:r>
            <w:r>
              <w:rPr>
                <w:rFonts w:hint="default" w:ascii="Times New Roman" w:hAnsi="Times New Roman" w:cs="Times New Roman"/>
                <w:color w:val="auto"/>
                <w:sz w:val="24"/>
              </w:rPr>
              <w:t>具体如下：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①危险废物贮存设施的选址、设计、建设、运行管理应满足GB18597、GBZ1和GBZ2的有关要求。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②危险废物贮存设施配备通讯设备、照明设施和消防设施。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③</w:t>
            </w:r>
            <w:r>
              <w:rPr>
                <w:rFonts w:hint="eastAsia" w:ascii="Times New Roman" w:hAnsi="Times New Roman" w:cs="Times New Roman"/>
                <w:color w:val="auto"/>
                <w:sz w:val="24"/>
                <w:szCs w:val="22"/>
              </w:rPr>
              <w:t>危废贮存间</w:t>
            </w:r>
            <w:r>
              <w:rPr>
                <w:rFonts w:hint="eastAsia" w:cs="Times New Roman"/>
                <w:color w:val="auto"/>
                <w:sz w:val="24"/>
                <w:szCs w:val="22"/>
                <w:lang w:eastAsia="zh-CN"/>
              </w:rPr>
              <w:t>建设</w:t>
            </w:r>
            <w:r>
              <w:rPr>
                <w:rFonts w:hint="eastAsia" w:ascii="Times New Roman" w:hAnsi="Times New Roman" w:cs="Times New Roman"/>
                <w:color w:val="auto"/>
                <w:sz w:val="24"/>
                <w:szCs w:val="22"/>
              </w:rPr>
              <w:t>墙面距地面1m高</w:t>
            </w:r>
            <w:r>
              <w:rPr>
                <w:rFonts w:hint="eastAsia" w:cs="Times New Roman"/>
                <w:color w:val="auto"/>
                <w:sz w:val="24"/>
                <w:szCs w:val="22"/>
                <w:lang w:eastAsia="zh-CN"/>
              </w:rPr>
              <w:t>的堵截泄露的裙角，</w:t>
            </w:r>
            <w:r>
              <w:rPr>
                <w:rFonts w:hint="eastAsia" w:ascii="Times New Roman" w:hAnsi="Times New Roman" w:cs="Times New Roman"/>
                <w:color w:val="auto"/>
                <w:sz w:val="24"/>
                <w:szCs w:val="22"/>
              </w:rPr>
              <w:t>防渗系数不小于</w:t>
            </w:r>
            <w:r>
              <w:rPr>
                <w:rFonts w:hint="default" w:ascii="Times New Roman" w:hAnsi="Times New Roman" w:cs="Times New Roman"/>
                <w:color w:val="auto"/>
                <w:sz w:val="24"/>
                <w:szCs w:val="22"/>
              </w:rPr>
              <w:t>10</w:t>
            </w:r>
            <w:r>
              <w:rPr>
                <w:rFonts w:hint="default" w:ascii="Times New Roman" w:hAnsi="Times New Roman" w:cs="Times New Roman"/>
                <w:color w:val="auto"/>
                <w:sz w:val="24"/>
                <w:szCs w:val="22"/>
                <w:vertAlign w:val="superscript"/>
              </w:rPr>
              <w:t>-10</w:t>
            </w:r>
            <w:r>
              <w:rPr>
                <w:rFonts w:hint="default" w:ascii="Times New Roman" w:hAnsi="Times New Roman" w:cs="Times New Roman"/>
                <w:color w:val="auto"/>
                <w:sz w:val="24"/>
                <w:szCs w:val="22"/>
              </w:rPr>
              <w:t>cm/s</w:t>
            </w:r>
            <w:r>
              <w:rPr>
                <w:rFonts w:hint="eastAsia" w:cs="Times New Roman"/>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④贮存危险废物时按危险废物的种类和特性进行分区贮存，每个贮存区域之间宜设置挡墙间隔，并设置防风、防雨、防晒、防渗（渗透系数≤10</w:t>
            </w:r>
            <w:r>
              <w:rPr>
                <w:rFonts w:hint="default" w:ascii="Times New Roman" w:hAnsi="Times New Roman" w:cs="Times New Roman"/>
                <w:color w:val="auto"/>
                <w:sz w:val="24"/>
                <w:vertAlign w:val="superscript"/>
              </w:rPr>
              <w:t>-10</w:t>
            </w:r>
            <w:r>
              <w:rPr>
                <w:rFonts w:hint="default" w:ascii="Times New Roman" w:hAnsi="Times New Roman" w:cs="Times New Roman"/>
                <w:color w:val="auto"/>
                <w:sz w:val="24"/>
              </w:rPr>
              <w:t>cm/s）。</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⑤</w:t>
            </w:r>
            <w:r>
              <w:rPr>
                <w:rFonts w:hint="eastAsia" w:ascii="Times New Roman" w:hAnsi="Times New Roman" w:cs="Times New Roman"/>
                <w:color w:val="auto"/>
                <w:sz w:val="24"/>
                <w:szCs w:val="22"/>
              </w:rPr>
              <w:t>危废贮存间</w:t>
            </w:r>
            <w:r>
              <w:rPr>
                <w:rFonts w:hint="eastAsia" w:cs="Times New Roman"/>
                <w:color w:val="auto"/>
                <w:sz w:val="24"/>
                <w:szCs w:val="22"/>
                <w:lang w:eastAsia="zh-CN"/>
              </w:rPr>
              <w:t>设置泄露液体收集装置，如导流槽、废液收集池，</w:t>
            </w:r>
            <w:r>
              <w:rPr>
                <w:rFonts w:hint="eastAsia" w:ascii="Times New Roman" w:hAnsi="Times New Roman" w:cs="Times New Roman"/>
                <w:color w:val="auto"/>
                <w:sz w:val="24"/>
                <w:szCs w:val="22"/>
              </w:rPr>
              <w:t>防渗系数不小于</w:t>
            </w:r>
            <w:r>
              <w:rPr>
                <w:rFonts w:hint="default" w:ascii="Times New Roman" w:hAnsi="Times New Roman" w:cs="Times New Roman"/>
                <w:color w:val="auto"/>
                <w:sz w:val="24"/>
                <w:szCs w:val="22"/>
              </w:rPr>
              <w:t>10</w:t>
            </w:r>
            <w:r>
              <w:rPr>
                <w:rFonts w:hint="default" w:ascii="Times New Roman" w:hAnsi="Times New Roman" w:cs="Times New Roman"/>
                <w:color w:val="auto"/>
                <w:sz w:val="24"/>
                <w:szCs w:val="22"/>
                <w:vertAlign w:val="superscript"/>
              </w:rPr>
              <w:t>-10</w:t>
            </w:r>
            <w:r>
              <w:rPr>
                <w:rFonts w:hint="default" w:ascii="Times New Roman" w:hAnsi="Times New Roman" w:cs="Times New Roman"/>
                <w:color w:val="auto"/>
                <w:sz w:val="24"/>
                <w:szCs w:val="22"/>
              </w:rPr>
              <w:t>cm/s</w:t>
            </w:r>
            <w:r>
              <w:rPr>
                <w:rFonts w:hint="eastAsia" w:cs="Times New Roman"/>
                <w:color w:val="auto"/>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⑥危险废物贮存期限按《中华人民共和国固体废物污染环境防治法》的有关规定，及时交由资质单位集中处置。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⑦危险废物贮存单位建立危险废物贮存的台帐制度，并做好危险废物出入库交接记录。</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szCs w:val="22"/>
              </w:rPr>
              <w:t>⑧</w:t>
            </w:r>
            <w:r>
              <w:rPr>
                <w:rFonts w:hint="default" w:ascii="Times New Roman" w:hAnsi="Times New Roman" w:cs="Times New Roman"/>
                <w:color w:val="auto"/>
                <w:sz w:val="24"/>
              </w:rPr>
              <w:t>存放装载液体、半固体危险废物容器位置，有耐腐蚀的硬化地面，且表面无裂隙。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lang w:eastAsia="zh-CN"/>
              </w:rPr>
              <w:t>⑨</w:t>
            </w:r>
            <w:r>
              <w:rPr>
                <w:rFonts w:hint="default" w:ascii="Times New Roman" w:hAnsi="Times New Roman" w:cs="Times New Roman"/>
                <w:color w:val="auto"/>
                <w:sz w:val="24"/>
              </w:rPr>
              <w:t>危险废物暂存场所设置符合《环境保护图形标志——固体废物贮存（处置）场》（GB15562.2-1995）的专用标志。</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color w:val="auto"/>
                <w:lang w:val="en-US" w:eastAsia="zh-CN"/>
              </w:rPr>
            </w:pPr>
            <w:r>
              <w:rPr>
                <w:rFonts w:hint="default" w:ascii="Times New Roman" w:hAnsi="Times New Roman" w:cs="Times New Roman"/>
                <w:color w:val="auto"/>
                <w:sz w:val="24"/>
                <w:szCs w:val="22"/>
                <w:lang w:eastAsia="zh-CN"/>
              </w:rPr>
              <w:t>⑩</w:t>
            </w:r>
            <w:r>
              <w:rPr>
                <w:rFonts w:hint="default" w:ascii="Times New Roman" w:hAnsi="Times New Roman" w:cs="Times New Roman"/>
                <w:color w:val="auto"/>
                <w:sz w:val="24"/>
                <w:szCs w:val="22"/>
              </w:rPr>
              <w:t>定期</w:t>
            </w:r>
            <w:r>
              <w:rPr>
                <w:rFonts w:hint="eastAsia" w:ascii="Times New Roman" w:hAnsi="Times New Roman" w:cs="Times New Roman"/>
                <w:color w:val="auto"/>
                <w:sz w:val="24"/>
                <w:szCs w:val="22"/>
              </w:rPr>
              <w:t>对所贮存的危险废物包装容器及贮存设施进行检查，发现破损，应及时采取措施清理更换。</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highlight w:val="none"/>
                <w:lang w:eastAsia="zh-CN"/>
              </w:rPr>
            </w:pPr>
            <w:r>
              <w:rPr>
                <w:rFonts w:hint="eastAsia"/>
                <w:color w:val="auto"/>
                <w:highlight w:val="none"/>
                <w:lang w:eastAsia="zh-CN"/>
              </w:rPr>
              <w:t>采取上述措施后，本项目产生的固体废物可以得到妥善处理和处置，对周围环境影响不明显。</w:t>
            </w:r>
          </w:p>
          <w:p>
            <w:pPr>
              <w:keepNext w:val="0"/>
              <w:keepLines w:val="0"/>
              <w:pageBreakBefore w:val="0"/>
              <w:widowControl w:val="0"/>
              <w:kinsoku/>
              <w:wordWrap/>
              <w:overflowPunct/>
              <w:topLinePunct w:val="0"/>
              <w:autoSpaceDE w:val="0"/>
              <w:autoSpaceDN w:val="0"/>
              <w:bidi w:val="0"/>
              <w:spacing w:line="500" w:lineRule="exact"/>
              <w:ind w:firstLine="482" w:firstLineChars="200"/>
              <w:jc w:val="left"/>
              <w:textAlignment w:val="auto"/>
              <w:rPr>
                <w:rFonts w:cs="Times New Roman"/>
                <w:b/>
                <w:bCs/>
                <w:lang w:val="en-US"/>
              </w:rPr>
            </w:pPr>
            <w:r>
              <w:rPr>
                <w:rFonts w:hint="eastAsia" w:cs="Times New Roman"/>
                <w:b/>
                <w:bCs/>
                <w:lang w:val="en-US" w:eastAsia="zh-CN"/>
              </w:rPr>
              <w:t>5</w:t>
            </w:r>
            <w:r>
              <w:rPr>
                <w:rFonts w:cs="Times New Roman"/>
                <w:b/>
                <w:bCs/>
                <w:lang w:val="en-US"/>
              </w:rPr>
              <w:t>、环境风险</w:t>
            </w:r>
          </w:p>
          <w:p>
            <w:pPr>
              <w:pStyle w:val="5"/>
              <w:keepNext w:val="0"/>
              <w:keepLines w:val="0"/>
              <w:pageBreakBefore w:val="0"/>
              <w:widowControl w:val="0"/>
              <w:kinsoku/>
              <w:wordWrap/>
              <w:overflowPunct/>
              <w:topLinePunct w:val="0"/>
              <w:autoSpaceDE w:val="0"/>
              <w:autoSpaceDN w:val="0"/>
              <w:bidi w:val="0"/>
              <w:spacing w:line="500" w:lineRule="exact"/>
              <w:ind w:firstLine="514" w:firstLineChars="200"/>
              <w:jc w:val="left"/>
              <w:textAlignment w:val="auto"/>
              <w:rPr>
                <w:rFonts w:eastAsia="宋体" w:cs="Times New Roman"/>
                <w:b/>
                <w:bCs/>
                <w:lang w:val="en-US"/>
              </w:rPr>
            </w:pPr>
            <w:r>
              <w:rPr>
                <w:rFonts w:hint="eastAsia" w:eastAsia="宋体" w:cs="Times New Roman"/>
                <w:b/>
                <w:bCs/>
                <w:lang w:val="en-US" w:eastAsia="zh-CN"/>
              </w:rPr>
              <w:t>5</w:t>
            </w:r>
            <w:r>
              <w:rPr>
                <w:rFonts w:eastAsia="宋体" w:cs="Times New Roman"/>
                <w:b/>
                <w:bCs/>
                <w:lang w:val="en-US"/>
              </w:rPr>
              <w:t>.1评价依据</w:t>
            </w:r>
          </w:p>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rPr>
                <w:rFonts w:cs="Times New Roman"/>
                <w:lang w:val="en-US"/>
              </w:rPr>
            </w:pPr>
            <w:r>
              <w:rPr>
                <w:rFonts w:hint="eastAsia" w:cs="Times New Roman"/>
                <w:lang w:val="en-US"/>
              </w:rPr>
              <w:t>⑴</w:t>
            </w:r>
            <w:r>
              <w:rPr>
                <w:rFonts w:cs="Times New Roman"/>
                <w:lang w:val="en-US"/>
              </w:rPr>
              <w:t>风险调查</w:t>
            </w:r>
          </w:p>
          <w:p>
            <w:pPr>
              <w:keepNext w:val="0"/>
              <w:keepLines w:val="0"/>
              <w:pageBreakBefore w:val="0"/>
              <w:widowControl w:val="0"/>
              <w:kinsoku/>
              <w:wordWrap/>
              <w:overflowPunct/>
              <w:topLinePunct w:val="0"/>
              <w:autoSpaceDE/>
              <w:autoSpaceDN/>
              <w:bidi w:val="0"/>
              <w:spacing w:line="500" w:lineRule="exact"/>
              <w:jc w:val="center"/>
              <w:textAlignment w:val="auto"/>
              <w:rPr>
                <w:rFonts w:cs="Times New Roman"/>
                <w:b/>
                <w:bCs/>
                <w:sz w:val="21"/>
                <w:szCs w:val="21"/>
              </w:rPr>
            </w:pPr>
            <w:r>
              <w:rPr>
                <w:rFonts w:cs="Times New Roman"/>
                <w:b/>
                <w:bCs/>
                <w:sz w:val="21"/>
                <w:szCs w:val="21"/>
              </w:rPr>
              <w:t>表</w:t>
            </w:r>
            <w:r>
              <w:rPr>
                <w:rFonts w:hint="eastAsia" w:cs="Times New Roman"/>
                <w:b/>
                <w:bCs/>
                <w:sz w:val="21"/>
                <w:szCs w:val="21"/>
                <w:lang w:val="en-US"/>
              </w:rPr>
              <w:t>4-</w:t>
            </w:r>
            <w:r>
              <w:rPr>
                <w:rFonts w:hint="eastAsia" w:cs="Times New Roman"/>
                <w:b/>
                <w:bCs/>
                <w:sz w:val="21"/>
                <w:szCs w:val="21"/>
                <w:lang w:val="en-US" w:eastAsia="zh-CN"/>
              </w:rPr>
              <w:t>17</w:t>
            </w:r>
            <w:r>
              <w:rPr>
                <w:rFonts w:hint="eastAsia" w:cs="Times New Roman"/>
                <w:b/>
                <w:bCs/>
                <w:sz w:val="21"/>
                <w:szCs w:val="21"/>
              </w:rPr>
              <w:t>项目风险物质数量和分布情况</w:t>
            </w:r>
          </w:p>
          <w:tbl>
            <w:tblPr>
              <w:tblStyle w:val="16"/>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228"/>
              <w:gridCol w:w="1999"/>
              <w:gridCol w:w="1530"/>
              <w:gridCol w:w="2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66" w:type="pct"/>
                  <w:vAlign w:val="center"/>
                </w:tcPr>
                <w:p>
                  <w:pPr>
                    <w:pStyle w:val="2"/>
                    <w:jc w:val="center"/>
                    <w:rPr>
                      <w:b/>
                      <w:bCs/>
                      <w:color w:val="auto"/>
                      <w:sz w:val="21"/>
                      <w:szCs w:val="21"/>
                    </w:rPr>
                  </w:pPr>
                  <w:r>
                    <w:rPr>
                      <w:rFonts w:hint="eastAsia"/>
                      <w:b/>
                      <w:bCs/>
                      <w:color w:val="auto"/>
                      <w:sz w:val="21"/>
                      <w:szCs w:val="21"/>
                    </w:rPr>
                    <w:t>序号</w:t>
                  </w:r>
                </w:p>
              </w:tc>
              <w:tc>
                <w:tcPr>
                  <w:tcW w:w="770" w:type="pct"/>
                  <w:vAlign w:val="center"/>
                </w:tcPr>
                <w:p>
                  <w:pPr>
                    <w:pStyle w:val="2"/>
                    <w:jc w:val="center"/>
                    <w:rPr>
                      <w:b/>
                      <w:bCs/>
                      <w:color w:val="auto"/>
                      <w:sz w:val="21"/>
                      <w:szCs w:val="21"/>
                    </w:rPr>
                  </w:pPr>
                  <w:r>
                    <w:rPr>
                      <w:rFonts w:hint="eastAsia"/>
                      <w:b/>
                      <w:bCs/>
                      <w:color w:val="auto"/>
                      <w:sz w:val="21"/>
                      <w:szCs w:val="21"/>
                    </w:rPr>
                    <w:t>名称</w:t>
                  </w:r>
                </w:p>
              </w:tc>
              <w:tc>
                <w:tcPr>
                  <w:tcW w:w="1252" w:type="pct"/>
                  <w:vAlign w:val="center"/>
                </w:tcPr>
                <w:p>
                  <w:pPr>
                    <w:pStyle w:val="2"/>
                    <w:jc w:val="center"/>
                    <w:rPr>
                      <w:b/>
                      <w:bCs/>
                      <w:color w:val="auto"/>
                      <w:sz w:val="21"/>
                      <w:szCs w:val="21"/>
                    </w:rPr>
                  </w:pPr>
                  <w:r>
                    <w:rPr>
                      <w:rFonts w:hint="eastAsia"/>
                      <w:b/>
                      <w:bCs/>
                      <w:color w:val="auto"/>
                      <w:sz w:val="21"/>
                      <w:szCs w:val="21"/>
                    </w:rPr>
                    <w:t>最大储存量</w:t>
                  </w:r>
                </w:p>
              </w:tc>
              <w:tc>
                <w:tcPr>
                  <w:tcW w:w="959" w:type="pct"/>
                  <w:vAlign w:val="center"/>
                </w:tcPr>
                <w:p>
                  <w:pPr>
                    <w:pStyle w:val="2"/>
                    <w:jc w:val="center"/>
                    <w:rPr>
                      <w:b/>
                      <w:bCs/>
                      <w:color w:val="auto"/>
                      <w:sz w:val="21"/>
                      <w:szCs w:val="21"/>
                    </w:rPr>
                  </w:pPr>
                  <w:r>
                    <w:rPr>
                      <w:rFonts w:hint="eastAsia"/>
                      <w:b/>
                      <w:bCs/>
                      <w:color w:val="auto"/>
                      <w:sz w:val="21"/>
                      <w:szCs w:val="21"/>
                    </w:rPr>
                    <w:t>年耗量</w:t>
                  </w:r>
                </w:p>
              </w:tc>
              <w:tc>
                <w:tcPr>
                  <w:tcW w:w="1551" w:type="pct"/>
                  <w:vAlign w:val="center"/>
                </w:tcPr>
                <w:p>
                  <w:pPr>
                    <w:pStyle w:val="2"/>
                    <w:jc w:val="center"/>
                    <w:rPr>
                      <w:b/>
                      <w:bCs/>
                      <w:color w:val="auto"/>
                      <w:sz w:val="21"/>
                      <w:szCs w:val="21"/>
                    </w:rPr>
                  </w:pPr>
                  <w:r>
                    <w:rPr>
                      <w:rFonts w:hint="eastAsia"/>
                      <w:b/>
                      <w:bCs/>
                      <w:color w:val="auto"/>
                      <w:sz w:val="21"/>
                      <w:szCs w:val="21"/>
                    </w:rPr>
                    <w:t>存储位置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466" w:type="pct"/>
                  <w:vAlign w:val="center"/>
                </w:tcPr>
                <w:p>
                  <w:pPr>
                    <w:pStyle w:val="2"/>
                    <w:jc w:val="center"/>
                    <w:rPr>
                      <w:color w:val="auto"/>
                      <w:sz w:val="21"/>
                      <w:szCs w:val="21"/>
                    </w:rPr>
                  </w:pPr>
                  <w:r>
                    <w:rPr>
                      <w:rFonts w:hint="eastAsia"/>
                      <w:color w:val="auto"/>
                      <w:sz w:val="21"/>
                      <w:szCs w:val="21"/>
                    </w:rPr>
                    <w:t>1</w:t>
                  </w:r>
                </w:p>
              </w:tc>
              <w:tc>
                <w:tcPr>
                  <w:tcW w:w="770" w:type="pct"/>
                  <w:vAlign w:val="center"/>
                </w:tcPr>
                <w:p>
                  <w:pPr>
                    <w:pStyle w:val="2"/>
                    <w:jc w:val="center"/>
                    <w:rPr>
                      <w:color w:val="auto"/>
                      <w:sz w:val="21"/>
                      <w:szCs w:val="21"/>
                    </w:rPr>
                  </w:pPr>
                  <w:r>
                    <w:rPr>
                      <w:rFonts w:hint="eastAsia"/>
                      <w:color w:val="auto"/>
                      <w:sz w:val="21"/>
                      <w:szCs w:val="21"/>
                    </w:rPr>
                    <w:t>废润滑油</w:t>
                  </w:r>
                </w:p>
              </w:tc>
              <w:tc>
                <w:tcPr>
                  <w:tcW w:w="1252" w:type="pct"/>
                  <w:vAlign w:val="center"/>
                </w:tcPr>
                <w:p>
                  <w:pPr>
                    <w:pStyle w:val="2"/>
                    <w:jc w:val="center"/>
                    <w:rPr>
                      <w:color w:val="auto"/>
                      <w:sz w:val="21"/>
                      <w:szCs w:val="21"/>
                    </w:rPr>
                  </w:pPr>
                  <w:r>
                    <w:rPr>
                      <w:rFonts w:hint="eastAsia"/>
                      <w:color w:val="auto"/>
                      <w:sz w:val="21"/>
                      <w:szCs w:val="21"/>
                      <w:lang w:val="en-US" w:eastAsia="zh-CN"/>
                    </w:rPr>
                    <w:t>0.1t</w:t>
                  </w:r>
                  <w:r>
                    <w:rPr>
                      <w:rFonts w:hint="eastAsia"/>
                      <w:color w:val="auto"/>
                      <w:sz w:val="21"/>
                      <w:szCs w:val="21"/>
                    </w:rPr>
                    <w:t>/a</w:t>
                  </w:r>
                </w:p>
              </w:tc>
              <w:tc>
                <w:tcPr>
                  <w:tcW w:w="959" w:type="pct"/>
                  <w:vAlign w:val="center"/>
                </w:tcPr>
                <w:p>
                  <w:pPr>
                    <w:pStyle w:val="2"/>
                    <w:jc w:val="center"/>
                    <w:rPr>
                      <w:rFonts w:hint="eastAsia" w:eastAsia="宋体"/>
                      <w:b/>
                      <w:bCs/>
                      <w:color w:val="auto"/>
                      <w:sz w:val="21"/>
                      <w:szCs w:val="21"/>
                      <w:lang w:eastAsia="zh-CN"/>
                    </w:rPr>
                  </w:pPr>
                  <w:r>
                    <w:rPr>
                      <w:rFonts w:hint="eastAsia"/>
                      <w:color w:val="auto"/>
                      <w:sz w:val="21"/>
                      <w:szCs w:val="21"/>
                      <w:lang w:val="en-US" w:eastAsia="zh-CN"/>
                    </w:rPr>
                    <w:t>0.1t</w:t>
                  </w:r>
                </w:p>
              </w:tc>
              <w:tc>
                <w:tcPr>
                  <w:tcW w:w="1551" w:type="pct"/>
                  <w:vAlign w:val="center"/>
                </w:tcPr>
                <w:p>
                  <w:pPr>
                    <w:pStyle w:val="2"/>
                    <w:jc w:val="center"/>
                    <w:rPr>
                      <w:b/>
                      <w:bCs/>
                      <w:color w:val="auto"/>
                      <w:sz w:val="21"/>
                      <w:szCs w:val="21"/>
                    </w:rPr>
                  </w:pPr>
                  <w:r>
                    <w:rPr>
                      <w:sz w:val="21"/>
                      <w:szCs w:val="21"/>
                    </w:rPr>
                    <w:t>危险废物贮存间</w:t>
                  </w:r>
                  <w:r>
                    <w:rPr>
                      <w:rFonts w:hint="eastAsia"/>
                      <w:sz w:val="21"/>
                      <w:szCs w:val="21"/>
                    </w:rPr>
                    <w:t>，每年转运一次</w:t>
                  </w:r>
                </w:p>
              </w:tc>
            </w:tr>
          </w:tbl>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⑵风险潜势初判</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pPr>
            <w:r>
              <w:rPr>
                <w:rFonts w:hint="eastAsia"/>
              </w:rPr>
              <w:t>根据《建设项目环境风险评价技术导则》（HJ169-2018）附录B中各危险物质的临界值，计算本项目的危险物质数量与临界量比值（Q），计算结果如下表所示。</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cs="Times New Roman"/>
                <w:b/>
                <w:bCs/>
                <w:sz w:val="21"/>
                <w:szCs w:val="21"/>
              </w:rPr>
            </w:pPr>
            <w:r>
              <w:rPr>
                <w:rFonts w:cs="Times New Roman"/>
                <w:b/>
                <w:bCs/>
                <w:sz w:val="21"/>
                <w:szCs w:val="21"/>
              </w:rPr>
              <w:t>表</w:t>
            </w:r>
            <w:r>
              <w:rPr>
                <w:rFonts w:hint="eastAsia" w:cs="Times New Roman"/>
                <w:b/>
                <w:bCs/>
                <w:sz w:val="21"/>
                <w:szCs w:val="21"/>
                <w:lang w:val="en-US"/>
              </w:rPr>
              <w:t>4-</w:t>
            </w:r>
            <w:r>
              <w:rPr>
                <w:rFonts w:hint="eastAsia" w:cs="Times New Roman"/>
                <w:b/>
                <w:bCs/>
                <w:sz w:val="21"/>
                <w:szCs w:val="21"/>
                <w:lang w:val="en-US" w:eastAsia="zh-CN"/>
              </w:rPr>
              <w:t>18</w:t>
            </w:r>
            <w:r>
              <w:rPr>
                <w:rFonts w:hint="eastAsia" w:cs="Times New Roman"/>
                <w:b/>
                <w:bCs/>
                <w:sz w:val="21"/>
                <w:szCs w:val="21"/>
              </w:rPr>
              <w:t>项目风险物质数量和分布情况</w:t>
            </w:r>
          </w:p>
          <w:tbl>
            <w:tblPr>
              <w:tblStyle w:val="16"/>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905"/>
              <w:gridCol w:w="1254"/>
              <w:gridCol w:w="1521"/>
              <w:gridCol w:w="1475"/>
              <w:gridCol w:w="2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2" w:type="pct"/>
                  <w:vAlign w:val="center"/>
                </w:tcPr>
                <w:p>
                  <w:pPr>
                    <w:pStyle w:val="2"/>
                    <w:jc w:val="center"/>
                    <w:rPr>
                      <w:b/>
                      <w:bCs/>
                      <w:color w:val="auto"/>
                      <w:sz w:val="21"/>
                      <w:szCs w:val="21"/>
                    </w:rPr>
                  </w:pPr>
                  <w:r>
                    <w:rPr>
                      <w:rFonts w:hint="eastAsia"/>
                      <w:b/>
                      <w:bCs/>
                      <w:color w:val="auto"/>
                      <w:sz w:val="21"/>
                      <w:szCs w:val="21"/>
                    </w:rPr>
                    <w:t>序号</w:t>
                  </w:r>
                </w:p>
              </w:tc>
              <w:tc>
                <w:tcPr>
                  <w:tcW w:w="567" w:type="pct"/>
                  <w:vAlign w:val="center"/>
                </w:tcPr>
                <w:p>
                  <w:pPr>
                    <w:pStyle w:val="2"/>
                    <w:jc w:val="center"/>
                    <w:rPr>
                      <w:b/>
                      <w:bCs/>
                      <w:color w:val="auto"/>
                      <w:sz w:val="21"/>
                      <w:szCs w:val="21"/>
                    </w:rPr>
                  </w:pPr>
                  <w:r>
                    <w:rPr>
                      <w:rFonts w:hint="eastAsia"/>
                      <w:b/>
                      <w:bCs/>
                      <w:color w:val="auto"/>
                      <w:sz w:val="21"/>
                      <w:szCs w:val="21"/>
                    </w:rPr>
                    <w:t>名称</w:t>
                  </w:r>
                </w:p>
              </w:tc>
              <w:tc>
                <w:tcPr>
                  <w:tcW w:w="786" w:type="pct"/>
                  <w:vAlign w:val="center"/>
                </w:tcPr>
                <w:p>
                  <w:pPr>
                    <w:pStyle w:val="2"/>
                    <w:jc w:val="center"/>
                    <w:rPr>
                      <w:b/>
                      <w:bCs/>
                      <w:color w:val="auto"/>
                      <w:sz w:val="21"/>
                      <w:szCs w:val="21"/>
                    </w:rPr>
                  </w:pPr>
                  <w:r>
                    <w:rPr>
                      <w:rFonts w:hint="eastAsia"/>
                      <w:b/>
                      <w:bCs/>
                      <w:color w:val="auto"/>
                      <w:sz w:val="21"/>
                      <w:szCs w:val="21"/>
                    </w:rPr>
                    <w:t>CAS</w:t>
                  </w:r>
                </w:p>
              </w:tc>
              <w:tc>
                <w:tcPr>
                  <w:tcW w:w="953" w:type="pct"/>
                  <w:vAlign w:val="center"/>
                </w:tcPr>
                <w:p>
                  <w:pPr>
                    <w:pStyle w:val="2"/>
                    <w:jc w:val="center"/>
                    <w:rPr>
                      <w:b/>
                      <w:bCs/>
                      <w:color w:val="auto"/>
                      <w:sz w:val="21"/>
                      <w:szCs w:val="21"/>
                    </w:rPr>
                  </w:pPr>
                  <w:r>
                    <w:rPr>
                      <w:rFonts w:hint="eastAsia"/>
                      <w:b/>
                      <w:bCs/>
                      <w:color w:val="auto"/>
                      <w:sz w:val="21"/>
                      <w:szCs w:val="21"/>
                    </w:rPr>
                    <w:t>最大存在量qn/t</w:t>
                  </w:r>
                </w:p>
              </w:tc>
              <w:tc>
                <w:tcPr>
                  <w:tcW w:w="923" w:type="pct"/>
                  <w:vAlign w:val="center"/>
                </w:tcPr>
                <w:p>
                  <w:pPr>
                    <w:pStyle w:val="2"/>
                    <w:jc w:val="center"/>
                    <w:rPr>
                      <w:b/>
                      <w:bCs/>
                      <w:color w:val="auto"/>
                      <w:sz w:val="21"/>
                      <w:szCs w:val="21"/>
                    </w:rPr>
                  </w:pPr>
                  <w:r>
                    <w:rPr>
                      <w:rFonts w:hint="eastAsia"/>
                      <w:b/>
                      <w:bCs/>
                      <w:color w:val="auto"/>
                      <w:sz w:val="21"/>
                      <w:szCs w:val="21"/>
                    </w:rPr>
                    <w:t>临界量/t</w:t>
                  </w:r>
                </w:p>
              </w:tc>
              <w:tc>
                <w:tcPr>
                  <w:tcW w:w="1426" w:type="pct"/>
                  <w:vAlign w:val="center"/>
                </w:tcPr>
                <w:p>
                  <w:pPr>
                    <w:pStyle w:val="2"/>
                    <w:jc w:val="center"/>
                    <w:rPr>
                      <w:b/>
                      <w:bCs/>
                      <w:color w:val="auto"/>
                      <w:sz w:val="21"/>
                      <w:szCs w:val="21"/>
                    </w:rPr>
                  </w:pPr>
                  <w:r>
                    <w:rPr>
                      <w:rFonts w:hint="eastAsia"/>
                      <w:b/>
                      <w:bCs/>
                      <w:color w:val="auto"/>
                      <w:sz w:val="21"/>
                      <w:szCs w:val="21"/>
                    </w:rPr>
                    <w:t>该种风险物质Q值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42" w:type="pct"/>
                  <w:vAlign w:val="center"/>
                </w:tcPr>
                <w:p>
                  <w:pPr>
                    <w:pStyle w:val="2"/>
                    <w:jc w:val="center"/>
                    <w:rPr>
                      <w:color w:val="auto"/>
                      <w:sz w:val="21"/>
                      <w:szCs w:val="21"/>
                    </w:rPr>
                  </w:pPr>
                  <w:r>
                    <w:rPr>
                      <w:rFonts w:hint="eastAsia"/>
                      <w:color w:val="auto"/>
                      <w:sz w:val="21"/>
                      <w:szCs w:val="21"/>
                    </w:rPr>
                    <w:t>1</w:t>
                  </w:r>
                </w:p>
              </w:tc>
              <w:tc>
                <w:tcPr>
                  <w:tcW w:w="567" w:type="pct"/>
                  <w:vAlign w:val="center"/>
                </w:tcPr>
                <w:p>
                  <w:pPr>
                    <w:pStyle w:val="2"/>
                    <w:jc w:val="center"/>
                    <w:rPr>
                      <w:color w:val="auto"/>
                      <w:sz w:val="21"/>
                      <w:szCs w:val="21"/>
                    </w:rPr>
                  </w:pPr>
                  <w:r>
                    <w:rPr>
                      <w:rFonts w:hint="eastAsia"/>
                      <w:color w:val="auto"/>
                      <w:sz w:val="21"/>
                      <w:szCs w:val="21"/>
                    </w:rPr>
                    <w:t>废润滑油</w:t>
                  </w:r>
                </w:p>
              </w:tc>
              <w:tc>
                <w:tcPr>
                  <w:tcW w:w="786" w:type="pct"/>
                  <w:vAlign w:val="center"/>
                </w:tcPr>
                <w:p>
                  <w:pPr>
                    <w:pStyle w:val="2"/>
                    <w:jc w:val="center"/>
                    <w:rPr>
                      <w:color w:val="auto"/>
                      <w:sz w:val="21"/>
                      <w:szCs w:val="21"/>
                    </w:rPr>
                  </w:pPr>
                  <w:r>
                    <w:rPr>
                      <w:rFonts w:hint="eastAsia"/>
                      <w:color w:val="auto"/>
                      <w:sz w:val="21"/>
                      <w:szCs w:val="21"/>
                    </w:rPr>
                    <w:t>/</w:t>
                  </w:r>
                </w:p>
              </w:tc>
              <w:tc>
                <w:tcPr>
                  <w:tcW w:w="953" w:type="pct"/>
                  <w:vAlign w:val="center"/>
                </w:tcPr>
                <w:p>
                  <w:pPr>
                    <w:pStyle w:val="2"/>
                    <w:jc w:val="center"/>
                    <w:rPr>
                      <w:rFonts w:hint="default" w:eastAsia="宋体"/>
                      <w:color w:val="auto"/>
                      <w:sz w:val="21"/>
                      <w:szCs w:val="21"/>
                      <w:lang w:val="en-US" w:eastAsia="zh-CN"/>
                    </w:rPr>
                  </w:pPr>
                  <w:r>
                    <w:rPr>
                      <w:rFonts w:hint="eastAsia"/>
                      <w:color w:val="auto"/>
                      <w:sz w:val="21"/>
                      <w:szCs w:val="21"/>
                      <w:lang w:val="en-US" w:eastAsia="zh-CN"/>
                    </w:rPr>
                    <w:t>0.1</w:t>
                  </w:r>
                </w:p>
              </w:tc>
              <w:tc>
                <w:tcPr>
                  <w:tcW w:w="923" w:type="pct"/>
                  <w:vAlign w:val="center"/>
                </w:tcPr>
                <w:p>
                  <w:pPr>
                    <w:pStyle w:val="2"/>
                    <w:jc w:val="center"/>
                    <w:rPr>
                      <w:color w:val="auto"/>
                      <w:sz w:val="21"/>
                      <w:szCs w:val="21"/>
                    </w:rPr>
                  </w:pPr>
                  <w:r>
                    <w:rPr>
                      <w:rFonts w:hint="eastAsia"/>
                      <w:color w:val="auto"/>
                      <w:sz w:val="21"/>
                      <w:szCs w:val="21"/>
                    </w:rPr>
                    <w:t>2500</w:t>
                  </w:r>
                </w:p>
              </w:tc>
              <w:tc>
                <w:tcPr>
                  <w:tcW w:w="1426" w:type="pct"/>
                  <w:vAlign w:val="center"/>
                </w:tcPr>
                <w:p>
                  <w:pPr>
                    <w:pStyle w:val="2"/>
                    <w:jc w:val="center"/>
                    <w:rPr>
                      <w:rFonts w:hint="default" w:eastAsia="宋体"/>
                      <w:b/>
                      <w:bCs/>
                      <w:color w:val="auto"/>
                      <w:sz w:val="21"/>
                      <w:szCs w:val="21"/>
                      <w:lang w:val="en-US" w:eastAsia="zh-CN"/>
                    </w:rPr>
                  </w:pPr>
                  <w:r>
                    <w:rPr>
                      <w:rFonts w:hint="eastAsia"/>
                      <w:color w:val="auto"/>
                      <w:sz w:val="21"/>
                      <w:szCs w:val="21"/>
                    </w:rPr>
                    <w:t>0.</w:t>
                  </w:r>
                  <w:r>
                    <w:rPr>
                      <w:rFonts w:hint="eastAsia"/>
                      <w:color w:val="auto"/>
                      <w:sz w:val="21"/>
                      <w:szCs w:val="21"/>
                      <w:lang w:val="en-US" w:eastAsia="zh-CN"/>
                    </w:rPr>
                    <w:t>00004</w:t>
                  </w:r>
                </w:p>
              </w:tc>
            </w:tr>
          </w:tbl>
          <w:p>
            <w:pPr>
              <w:keepNext w:val="0"/>
              <w:keepLines w:val="0"/>
              <w:pageBreakBefore w:val="0"/>
              <w:widowControl w:val="0"/>
              <w:kinsoku/>
              <w:wordWrap/>
              <w:overflowPunct/>
              <w:topLinePunct w:val="0"/>
              <w:autoSpaceDE w:val="0"/>
              <w:autoSpaceDN w:val="0"/>
              <w:bidi w:val="0"/>
              <w:spacing w:line="500" w:lineRule="exact"/>
              <w:ind w:firstLine="480" w:firstLineChars="200"/>
              <w:jc w:val="left"/>
              <w:textAlignment w:val="auto"/>
            </w:pPr>
            <w:r>
              <w:rPr>
                <w:rFonts w:hint="eastAsia"/>
              </w:rPr>
              <w:t>综上，项目危险物质Q值范围：Q&lt;1，故判定该项目环境风险潜势为Ⅰ。</w:t>
            </w:r>
          </w:p>
          <w:p>
            <w:pPr>
              <w:keepNext w:val="0"/>
              <w:keepLines w:val="0"/>
              <w:pageBreakBefore w:val="0"/>
              <w:widowControl w:val="0"/>
              <w:kinsoku/>
              <w:wordWrap/>
              <w:overflowPunct/>
              <w:topLinePunct w:val="0"/>
              <w:autoSpaceDE w:val="0"/>
              <w:autoSpaceDN w:val="0"/>
              <w:bidi w:val="0"/>
              <w:spacing w:line="500" w:lineRule="exact"/>
              <w:ind w:firstLine="480"/>
              <w:jc w:val="left"/>
              <w:textAlignment w:val="auto"/>
              <w:rPr>
                <w:rFonts w:cs="Times New Roman"/>
                <w:b/>
                <w:bCs/>
                <w:kern w:val="24"/>
                <w:szCs w:val="28"/>
                <w:lang w:val="en-US"/>
              </w:rPr>
            </w:pPr>
            <w:r>
              <w:rPr>
                <w:rFonts w:hint="eastAsia"/>
                <w:b/>
                <w:bCs/>
                <w:kern w:val="24"/>
                <w:szCs w:val="28"/>
                <w:lang w:val="en-US" w:eastAsia="zh-CN"/>
              </w:rPr>
              <w:t>5</w:t>
            </w:r>
            <w:r>
              <w:rPr>
                <w:rFonts w:hint="eastAsia"/>
                <w:b/>
                <w:bCs/>
                <w:kern w:val="24"/>
                <w:szCs w:val="28"/>
                <w:lang w:val="en-US"/>
              </w:rPr>
              <w:t>.2风险识别</w:t>
            </w:r>
          </w:p>
          <w:p>
            <w:pPr>
              <w:pStyle w:val="5"/>
              <w:keepNext w:val="0"/>
              <w:keepLines w:val="0"/>
              <w:pageBreakBefore w:val="0"/>
              <w:widowControl w:val="0"/>
              <w:kinsoku/>
              <w:wordWrap/>
              <w:overflowPunct/>
              <w:topLinePunct w:val="0"/>
              <w:autoSpaceDE w:val="0"/>
              <w:autoSpaceDN w:val="0"/>
              <w:bidi w:val="0"/>
              <w:spacing w:line="500" w:lineRule="exact"/>
              <w:jc w:val="left"/>
              <w:textAlignment w:val="auto"/>
              <w:rPr>
                <w:rFonts w:eastAsia="宋体" w:cs="Times New Roman"/>
                <w:lang w:val="en-US"/>
              </w:rPr>
            </w:pPr>
            <w:r>
              <w:rPr>
                <w:rFonts w:eastAsia="宋体" w:cs="Times New Roman"/>
                <w:kern w:val="24"/>
                <w:szCs w:val="28"/>
                <w:lang w:val="en-US"/>
              </w:rPr>
              <w:t>环境风险识别情况见下表。</w:t>
            </w:r>
          </w:p>
          <w:p>
            <w:pPr>
              <w:keepNext w:val="0"/>
              <w:keepLines w:val="0"/>
              <w:pageBreakBefore w:val="0"/>
              <w:widowControl w:val="0"/>
              <w:kinsoku/>
              <w:wordWrap/>
              <w:overflowPunct/>
              <w:topLinePunct w:val="0"/>
              <w:autoSpaceDE/>
              <w:autoSpaceDN/>
              <w:bidi w:val="0"/>
              <w:spacing w:line="500" w:lineRule="exact"/>
              <w:textAlignment w:val="auto"/>
              <w:rPr>
                <w:rFonts w:cs="Times New Roman"/>
                <w:b/>
                <w:bCs/>
                <w:sz w:val="21"/>
                <w:szCs w:val="21"/>
              </w:rPr>
            </w:pPr>
            <w:r>
              <w:rPr>
                <w:rFonts w:cs="Times New Roman"/>
                <w:b/>
                <w:bCs/>
                <w:sz w:val="21"/>
                <w:szCs w:val="21"/>
              </w:rPr>
              <w:t>表</w:t>
            </w:r>
            <w:r>
              <w:rPr>
                <w:rFonts w:hint="eastAsia" w:cs="Times New Roman"/>
                <w:b/>
                <w:bCs/>
                <w:sz w:val="21"/>
                <w:szCs w:val="21"/>
                <w:lang w:val="en-US"/>
              </w:rPr>
              <w:t>4-</w:t>
            </w:r>
            <w:r>
              <w:rPr>
                <w:rFonts w:hint="eastAsia" w:cs="Times New Roman"/>
                <w:b/>
                <w:bCs/>
                <w:sz w:val="21"/>
                <w:szCs w:val="21"/>
                <w:lang w:val="en-US" w:eastAsia="zh-CN"/>
              </w:rPr>
              <w:t>19</w:t>
            </w:r>
            <w:r>
              <w:rPr>
                <w:rFonts w:hint="eastAsia" w:cs="Times New Roman"/>
                <w:b/>
                <w:bCs/>
                <w:sz w:val="21"/>
                <w:szCs w:val="21"/>
              </w:rPr>
              <w:t>项目环境风险识别表</w:t>
            </w:r>
          </w:p>
          <w:tbl>
            <w:tblPr>
              <w:tblStyle w:val="16"/>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202"/>
              <w:gridCol w:w="1665"/>
              <w:gridCol w:w="1415"/>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52" w:type="pct"/>
                  <w:vAlign w:val="center"/>
                </w:tcPr>
                <w:p>
                  <w:pPr>
                    <w:pStyle w:val="2"/>
                    <w:jc w:val="center"/>
                    <w:rPr>
                      <w:b/>
                      <w:bCs/>
                      <w:color w:val="auto"/>
                      <w:sz w:val="21"/>
                      <w:szCs w:val="21"/>
                    </w:rPr>
                  </w:pPr>
                  <w:r>
                    <w:rPr>
                      <w:rFonts w:hint="eastAsia"/>
                      <w:b/>
                      <w:bCs/>
                      <w:color w:val="auto"/>
                      <w:sz w:val="21"/>
                      <w:szCs w:val="21"/>
                    </w:rPr>
                    <w:t>序号</w:t>
                  </w:r>
                </w:p>
              </w:tc>
              <w:tc>
                <w:tcPr>
                  <w:tcW w:w="748" w:type="pct"/>
                  <w:vAlign w:val="center"/>
                </w:tcPr>
                <w:p>
                  <w:pPr>
                    <w:pStyle w:val="2"/>
                    <w:jc w:val="center"/>
                    <w:rPr>
                      <w:b/>
                      <w:bCs/>
                      <w:color w:val="auto"/>
                      <w:sz w:val="21"/>
                      <w:szCs w:val="21"/>
                    </w:rPr>
                  </w:pPr>
                  <w:r>
                    <w:rPr>
                      <w:rFonts w:hint="eastAsia"/>
                      <w:b/>
                      <w:bCs/>
                      <w:color w:val="auto"/>
                      <w:sz w:val="21"/>
                      <w:szCs w:val="21"/>
                    </w:rPr>
                    <w:t>危险单元</w:t>
                  </w:r>
                </w:p>
              </w:tc>
              <w:tc>
                <w:tcPr>
                  <w:tcW w:w="1036" w:type="pct"/>
                  <w:vAlign w:val="center"/>
                </w:tcPr>
                <w:p>
                  <w:pPr>
                    <w:pStyle w:val="2"/>
                    <w:jc w:val="center"/>
                    <w:rPr>
                      <w:b/>
                      <w:bCs/>
                      <w:color w:val="auto"/>
                      <w:sz w:val="21"/>
                      <w:szCs w:val="21"/>
                    </w:rPr>
                  </w:pPr>
                  <w:r>
                    <w:rPr>
                      <w:rFonts w:hint="eastAsia"/>
                      <w:b/>
                      <w:bCs/>
                      <w:color w:val="auto"/>
                      <w:sz w:val="21"/>
                      <w:szCs w:val="21"/>
                    </w:rPr>
                    <w:t>主要危险物质</w:t>
                  </w:r>
                </w:p>
              </w:tc>
              <w:tc>
                <w:tcPr>
                  <w:tcW w:w="880" w:type="pct"/>
                  <w:vAlign w:val="center"/>
                </w:tcPr>
                <w:p>
                  <w:pPr>
                    <w:pStyle w:val="2"/>
                    <w:jc w:val="center"/>
                    <w:rPr>
                      <w:b/>
                      <w:bCs/>
                      <w:color w:val="auto"/>
                      <w:sz w:val="21"/>
                      <w:szCs w:val="21"/>
                    </w:rPr>
                  </w:pPr>
                  <w:r>
                    <w:rPr>
                      <w:rFonts w:hint="eastAsia"/>
                      <w:b/>
                      <w:bCs/>
                      <w:color w:val="auto"/>
                      <w:sz w:val="21"/>
                      <w:szCs w:val="21"/>
                    </w:rPr>
                    <w:t>环境风险类型</w:t>
                  </w:r>
                </w:p>
              </w:tc>
              <w:tc>
                <w:tcPr>
                  <w:tcW w:w="1882" w:type="pct"/>
                  <w:vAlign w:val="center"/>
                </w:tcPr>
                <w:p>
                  <w:pPr>
                    <w:pStyle w:val="2"/>
                    <w:jc w:val="center"/>
                    <w:rPr>
                      <w:b/>
                      <w:bCs/>
                      <w:color w:val="auto"/>
                      <w:sz w:val="21"/>
                      <w:szCs w:val="21"/>
                    </w:rPr>
                  </w:pPr>
                  <w:r>
                    <w:rPr>
                      <w:rFonts w:hint="eastAsia"/>
                      <w:b/>
                      <w:bCs/>
                      <w:color w:val="auto"/>
                      <w:sz w:val="21"/>
                      <w:szCs w:val="21"/>
                    </w:rP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52" w:type="pct"/>
                  <w:vAlign w:val="center"/>
                </w:tcPr>
                <w:p>
                  <w:pPr>
                    <w:pStyle w:val="2"/>
                    <w:jc w:val="center"/>
                    <w:rPr>
                      <w:color w:val="auto"/>
                      <w:sz w:val="21"/>
                      <w:szCs w:val="21"/>
                    </w:rPr>
                  </w:pPr>
                  <w:r>
                    <w:rPr>
                      <w:rFonts w:hint="eastAsia"/>
                      <w:color w:val="auto"/>
                      <w:sz w:val="21"/>
                      <w:szCs w:val="21"/>
                    </w:rPr>
                    <w:t>1</w:t>
                  </w:r>
                </w:p>
              </w:tc>
              <w:tc>
                <w:tcPr>
                  <w:tcW w:w="748" w:type="pct"/>
                  <w:vAlign w:val="center"/>
                </w:tcPr>
                <w:p>
                  <w:pPr>
                    <w:pStyle w:val="2"/>
                    <w:jc w:val="center"/>
                    <w:rPr>
                      <w:color w:val="auto"/>
                      <w:sz w:val="21"/>
                      <w:szCs w:val="21"/>
                    </w:rPr>
                  </w:pPr>
                  <w:r>
                    <w:rPr>
                      <w:rFonts w:hint="eastAsia"/>
                      <w:color w:val="auto"/>
                      <w:sz w:val="21"/>
                      <w:szCs w:val="21"/>
                    </w:rPr>
                    <w:t>危险废物贮存间</w:t>
                  </w:r>
                </w:p>
              </w:tc>
              <w:tc>
                <w:tcPr>
                  <w:tcW w:w="1036" w:type="pct"/>
                  <w:vAlign w:val="center"/>
                </w:tcPr>
                <w:p>
                  <w:pPr>
                    <w:pStyle w:val="2"/>
                    <w:jc w:val="center"/>
                    <w:rPr>
                      <w:color w:val="auto"/>
                      <w:sz w:val="21"/>
                      <w:szCs w:val="21"/>
                    </w:rPr>
                  </w:pPr>
                  <w:r>
                    <w:rPr>
                      <w:color w:val="auto"/>
                      <w:sz w:val="21"/>
                      <w:szCs w:val="21"/>
                    </w:rPr>
                    <w:t>矿物基础油</w:t>
                  </w:r>
                </w:p>
              </w:tc>
              <w:tc>
                <w:tcPr>
                  <w:tcW w:w="880" w:type="pct"/>
                  <w:vAlign w:val="center"/>
                </w:tcPr>
                <w:p>
                  <w:pPr>
                    <w:pStyle w:val="2"/>
                    <w:jc w:val="center"/>
                    <w:rPr>
                      <w:b/>
                      <w:bCs/>
                      <w:color w:val="auto"/>
                      <w:sz w:val="21"/>
                      <w:szCs w:val="21"/>
                    </w:rPr>
                  </w:pPr>
                  <w:r>
                    <w:rPr>
                      <w:rFonts w:hint="eastAsia"/>
                      <w:color w:val="auto"/>
                      <w:sz w:val="21"/>
                      <w:szCs w:val="21"/>
                    </w:rPr>
                    <w:t>火灾、泄漏</w:t>
                  </w:r>
                </w:p>
              </w:tc>
              <w:tc>
                <w:tcPr>
                  <w:tcW w:w="1882" w:type="pct"/>
                  <w:vAlign w:val="center"/>
                </w:tcPr>
                <w:p>
                  <w:pPr>
                    <w:pStyle w:val="2"/>
                    <w:jc w:val="center"/>
                    <w:rPr>
                      <w:b/>
                      <w:bCs/>
                      <w:color w:val="auto"/>
                      <w:sz w:val="21"/>
                      <w:szCs w:val="21"/>
                    </w:rPr>
                  </w:pPr>
                  <w:r>
                    <w:rPr>
                      <w:rFonts w:hint="eastAsia"/>
                      <w:color w:val="auto"/>
                      <w:sz w:val="21"/>
                      <w:szCs w:val="21"/>
                    </w:rPr>
                    <w:t>液态物质泄漏，浸渍地面，渗透至下方土壤及地下水；可燃物质遇明火发生火灾，产生有毒有害气体扩散至大气环境</w:t>
                  </w:r>
                </w:p>
              </w:tc>
            </w:tr>
          </w:tbl>
          <w:p>
            <w:pPr>
              <w:pStyle w:val="23"/>
              <w:keepNext w:val="0"/>
              <w:keepLines w:val="0"/>
              <w:pageBreakBefore w:val="0"/>
              <w:widowControl w:val="0"/>
              <w:kinsoku/>
              <w:wordWrap/>
              <w:overflowPunct/>
              <w:topLinePunct w:val="0"/>
              <w:autoSpaceDE w:val="0"/>
              <w:autoSpaceDN w:val="0"/>
              <w:bidi w:val="0"/>
              <w:adjustRightInd/>
              <w:snapToGrid/>
              <w:spacing w:line="500" w:lineRule="exact"/>
              <w:ind w:left="0" w:firstLine="482" w:firstLineChars="200"/>
              <w:jc w:val="left"/>
              <w:textAlignment w:val="auto"/>
              <w:rPr>
                <w:rFonts w:ascii="Times New Roman" w:hAnsi="Times New Roman" w:cs="Times New Roman"/>
                <w:b/>
                <w:bCs/>
                <w:lang w:val="en-US"/>
              </w:rPr>
            </w:pPr>
            <w:r>
              <w:rPr>
                <w:rFonts w:hint="eastAsia" w:ascii="Times New Roman" w:hAnsi="Times New Roman" w:cs="Times New Roman"/>
                <w:b/>
                <w:bCs/>
                <w:lang w:val="en-US" w:eastAsia="zh-CN"/>
              </w:rPr>
              <w:t>5</w:t>
            </w:r>
            <w:r>
              <w:rPr>
                <w:rFonts w:ascii="Times New Roman" w:hAnsi="Times New Roman" w:cs="Times New Roman"/>
                <w:b/>
                <w:bCs/>
                <w:lang w:val="en-US"/>
              </w:rPr>
              <w:t>.3环境风险分析</w:t>
            </w:r>
          </w:p>
          <w:p>
            <w:pPr>
              <w:keepNext w:val="0"/>
              <w:keepLines w:val="0"/>
              <w:pageBreakBefore w:val="0"/>
              <w:widowControl w:val="0"/>
              <w:kinsoku/>
              <w:wordWrap/>
              <w:overflowPunct/>
              <w:topLinePunct w:val="0"/>
              <w:autoSpaceDE w:val="0"/>
              <w:autoSpaceDN w:val="0"/>
              <w:bidi w:val="0"/>
              <w:adjustRightInd/>
              <w:snapToGrid/>
              <w:spacing w:line="500" w:lineRule="exact"/>
              <w:ind w:left="0" w:firstLine="480" w:firstLineChars="200"/>
              <w:jc w:val="left"/>
              <w:textAlignment w:val="auto"/>
              <w:rPr>
                <w:lang w:val="en-US"/>
              </w:rPr>
            </w:pPr>
            <w:r>
              <w:rPr>
                <w:rFonts w:hint="eastAsia"/>
                <w:lang w:val="en-US"/>
              </w:rPr>
              <w:t>⑴大气环境风险影响</w:t>
            </w:r>
          </w:p>
          <w:p>
            <w:pPr>
              <w:keepNext w:val="0"/>
              <w:keepLines w:val="0"/>
              <w:pageBreakBefore w:val="0"/>
              <w:widowControl w:val="0"/>
              <w:kinsoku/>
              <w:wordWrap/>
              <w:overflowPunct/>
              <w:topLinePunct w:val="0"/>
              <w:autoSpaceDE w:val="0"/>
              <w:autoSpaceDN w:val="0"/>
              <w:bidi w:val="0"/>
              <w:adjustRightInd/>
              <w:snapToGrid/>
              <w:spacing w:line="500" w:lineRule="exact"/>
              <w:ind w:left="0" w:firstLine="480" w:firstLineChars="200"/>
              <w:jc w:val="left"/>
              <w:textAlignment w:val="auto"/>
              <w:rPr>
                <w:lang w:val="en-US"/>
              </w:rPr>
            </w:pPr>
            <w:r>
              <w:rPr>
                <w:rFonts w:hint="eastAsia"/>
                <w:lang w:val="en-US"/>
              </w:rPr>
              <w:t>本项目设备检修使用的润滑油为矿物基础油+添加剂，属于易燃易爆物质，一旦发生泄漏接触明火有发生火灾和爆炸事故的可能，主要燃烧产物为水、CO和CO</w:t>
            </w:r>
            <w:r>
              <w:rPr>
                <w:rFonts w:hint="eastAsia"/>
                <w:vertAlign w:val="subscript"/>
                <w:lang w:val="en-US"/>
              </w:rPr>
              <w:t>2</w:t>
            </w:r>
            <w:r>
              <w:rPr>
                <w:rFonts w:hint="eastAsia"/>
                <w:lang w:val="en-US"/>
              </w:rPr>
              <w:t>，可能对厂区外大气环境产生一定影响。</w:t>
            </w:r>
          </w:p>
          <w:p>
            <w:pPr>
              <w:keepNext w:val="0"/>
              <w:keepLines w:val="0"/>
              <w:pageBreakBefore w:val="0"/>
              <w:widowControl w:val="0"/>
              <w:kinsoku/>
              <w:wordWrap/>
              <w:overflowPunct/>
              <w:topLinePunct w:val="0"/>
              <w:autoSpaceDE w:val="0"/>
              <w:autoSpaceDN w:val="0"/>
              <w:bidi w:val="0"/>
              <w:adjustRightInd/>
              <w:snapToGrid/>
              <w:spacing w:line="500" w:lineRule="exact"/>
              <w:ind w:left="0" w:firstLine="480" w:firstLineChars="200"/>
              <w:jc w:val="left"/>
              <w:textAlignment w:val="auto"/>
              <w:rPr>
                <w:highlight w:val="yellow"/>
                <w:lang w:val="en-US"/>
              </w:rPr>
            </w:pPr>
            <w:r>
              <w:rPr>
                <w:lang w:val="en-US"/>
              </w:rPr>
              <w:t>危废暂存间设置消防设施且有专人管理。火情较小情况下，采用干粉灭火器进行急救，之后收集的固体废物作为危险废物交由有资质的单位处理。火情较大时第一时间通知消防部门控制火势，同时对临近物资进行降温。本项目</w:t>
            </w:r>
            <w:r>
              <w:rPr>
                <w:rFonts w:hint="eastAsia"/>
                <w:lang w:val="en-US"/>
              </w:rPr>
              <w:t>危险废物产生</w:t>
            </w:r>
            <w:r>
              <w:rPr>
                <w:lang w:val="en-US"/>
              </w:rPr>
              <w:t>量较小，采取管理措施发生火灾的概率低，火灾产生的有害物质经大气扩散后不会对大气环境产生不利影响。</w:t>
            </w:r>
          </w:p>
          <w:p>
            <w:pPr>
              <w:keepNext w:val="0"/>
              <w:keepLines w:val="0"/>
              <w:pageBreakBefore w:val="0"/>
              <w:widowControl w:val="0"/>
              <w:kinsoku/>
              <w:wordWrap/>
              <w:overflowPunct/>
              <w:topLinePunct w:val="0"/>
              <w:autoSpaceDE w:val="0"/>
              <w:autoSpaceDN w:val="0"/>
              <w:bidi w:val="0"/>
              <w:adjustRightInd/>
              <w:snapToGrid/>
              <w:spacing w:line="500" w:lineRule="exact"/>
              <w:ind w:left="0" w:firstLine="480" w:firstLineChars="200"/>
              <w:jc w:val="left"/>
              <w:textAlignment w:val="auto"/>
              <w:rPr>
                <w:lang w:val="en-US"/>
              </w:rPr>
            </w:pPr>
            <w:r>
              <w:rPr>
                <w:rFonts w:hint="eastAsia"/>
                <w:lang w:val="en-US"/>
              </w:rPr>
              <w:t>⑵</w:t>
            </w:r>
            <w:r>
              <w:rPr>
                <w:lang w:val="en-US"/>
              </w:rPr>
              <w:t>地表水环境风险影响</w:t>
            </w:r>
          </w:p>
          <w:p>
            <w:pPr>
              <w:keepNext w:val="0"/>
              <w:keepLines w:val="0"/>
              <w:pageBreakBefore w:val="0"/>
              <w:widowControl w:val="0"/>
              <w:kinsoku/>
              <w:wordWrap/>
              <w:overflowPunct/>
              <w:topLinePunct w:val="0"/>
              <w:autoSpaceDE w:val="0"/>
              <w:autoSpaceDN w:val="0"/>
              <w:bidi w:val="0"/>
              <w:adjustRightInd/>
              <w:snapToGrid/>
              <w:spacing w:line="500" w:lineRule="exact"/>
              <w:ind w:left="0" w:firstLine="480" w:firstLineChars="200"/>
              <w:jc w:val="left"/>
              <w:textAlignment w:val="auto"/>
              <w:rPr>
                <w:lang w:val="en-US"/>
              </w:rPr>
            </w:pPr>
            <w:r>
              <w:rPr>
                <w:lang w:val="en-US"/>
              </w:rPr>
              <w:t>项目危险废物</w:t>
            </w:r>
            <w:r>
              <w:rPr>
                <w:rFonts w:hint="eastAsia"/>
                <w:lang w:val="en-US"/>
              </w:rPr>
              <w:t>贮存间未</w:t>
            </w:r>
            <w:r>
              <w:rPr>
                <w:lang w:val="en-US"/>
              </w:rPr>
              <w:t>做好防雨、防渗、防腐措施，导致发生渗漏进入周围环境，具有腐蚀性或遇水具有渗透性的泄露物通过地面径流经厂区内雨水管网外排至厂外地表水体中，影响地表水环境，对水生生物产生一定程度的影响，当项目厂区内部发生火灾事故时，灭火过程中产生的消防废水未截留在厂内，可能会随着地面径流进入雨水管网，直接进入外部水体环境中，污染地表水环境。</w:t>
            </w:r>
          </w:p>
          <w:p>
            <w:pPr>
              <w:keepNext w:val="0"/>
              <w:keepLines w:val="0"/>
              <w:pageBreakBefore w:val="0"/>
              <w:widowControl w:val="0"/>
              <w:kinsoku/>
              <w:wordWrap/>
              <w:overflowPunct/>
              <w:topLinePunct w:val="0"/>
              <w:autoSpaceDE w:val="0"/>
              <w:autoSpaceDN w:val="0"/>
              <w:bidi w:val="0"/>
              <w:adjustRightInd/>
              <w:snapToGrid/>
              <w:spacing w:line="500" w:lineRule="exact"/>
              <w:ind w:left="0" w:firstLine="480" w:firstLineChars="200"/>
              <w:jc w:val="left"/>
              <w:textAlignment w:val="auto"/>
              <w:rPr>
                <w:lang w:val="en-US"/>
              </w:rPr>
            </w:pPr>
            <w:r>
              <w:rPr>
                <w:rFonts w:hint="eastAsia"/>
                <w:lang w:val="en-US"/>
              </w:rPr>
              <w:t>⑶</w:t>
            </w:r>
            <w:r>
              <w:rPr>
                <w:lang w:val="en-US"/>
              </w:rPr>
              <w:t>地下水、土壤环境风险影响</w:t>
            </w:r>
          </w:p>
          <w:p>
            <w:pPr>
              <w:keepNext w:val="0"/>
              <w:keepLines w:val="0"/>
              <w:pageBreakBefore w:val="0"/>
              <w:widowControl w:val="0"/>
              <w:kinsoku/>
              <w:wordWrap/>
              <w:overflowPunct/>
              <w:topLinePunct w:val="0"/>
              <w:autoSpaceDE w:val="0"/>
              <w:autoSpaceDN w:val="0"/>
              <w:bidi w:val="0"/>
              <w:adjustRightInd/>
              <w:snapToGrid/>
              <w:spacing w:line="500" w:lineRule="exact"/>
              <w:ind w:left="0" w:firstLine="480" w:firstLineChars="200"/>
              <w:jc w:val="left"/>
              <w:textAlignment w:val="auto"/>
              <w:rPr>
                <w:lang w:val="en-US"/>
              </w:rPr>
            </w:pPr>
            <w:r>
              <w:rPr>
                <w:lang w:val="en-US"/>
              </w:rPr>
              <w:t>本项目泄漏情形为</w:t>
            </w:r>
            <w:r>
              <w:rPr>
                <w:rFonts w:hint="eastAsia"/>
                <w:lang w:val="en-US" w:eastAsia="zh-CN"/>
              </w:rPr>
              <w:t>危险废物贮存间</w:t>
            </w:r>
            <w:r>
              <w:rPr>
                <w:lang w:val="en-US"/>
              </w:rPr>
              <w:t>贮存的油类物质包装物破裂。储存过程为液态，包装规格</w:t>
            </w:r>
            <w:r>
              <w:rPr>
                <w:rFonts w:hint="eastAsia"/>
                <w:color w:val="auto"/>
                <w:lang w:val="en-US" w:eastAsia="zh-CN"/>
              </w:rPr>
              <w:t>为18</w:t>
            </w:r>
            <w:r>
              <w:rPr>
                <w:color w:val="auto"/>
                <w:lang w:val="en-US"/>
              </w:rPr>
              <w:t>kg/桶，在原包</w:t>
            </w:r>
            <w:r>
              <w:rPr>
                <w:lang w:val="en-US"/>
              </w:rPr>
              <w:t>装内密封储存，正常情况下不会发生泄漏。搬运过程中，因操作失误包装桶摔到地面上产生破损，最大泄漏量超不过</w:t>
            </w:r>
            <w:r>
              <w:rPr>
                <w:rFonts w:hint="eastAsia"/>
                <w:lang w:val="en-US" w:eastAsia="zh-CN"/>
              </w:rPr>
              <w:t>18</w:t>
            </w:r>
            <w:r>
              <w:rPr>
                <w:lang w:val="en-US"/>
              </w:rPr>
              <w:t>kg。</w:t>
            </w:r>
          </w:p>
          <w:p>
            <w:pPr>
              <w:keepNext w:val="0"/>
              <w:keepLines w:val="0"/>
              <w:pageBreakBefore w:val="0"/>
              <w:widowControl w:val="0"/>
              <w:kinsoku/>
              <w:wordWrap/>
              <w:overflowPunct/>
              <w:topLinePunct w:val="0"/>
              <w:autoSpaceDE w:val="0"/>
              <w:autoSpaceDN w:val="0"/>
              <w:bidi w:val="0"/>
              <w:adjustRightInd/>
              <w:snapToGrid/>
              <w:spacing w:line="500" w:lineRule="exact"/>
              <w:ind w:left="0" w:firstLine="480" w:firstLineChars="200"/>
              <w:jc w:val="left"/>
              <w:textAlignment w:val="auto"/>
              <w:rPr>
                <w:lang w:val="en-US"/>
              </w:rPr>
            </w:pPr>
            <w:r>
              <w:rPr>
                <w:lang w:val="en-US"/>
              </w:rPr>
              <w:t>本项目</w:t>
            </w:r>
            <w:r>
              <w:rPr>
                <w:rFonts w:hint="eastAsia"/>
                <w:lang w:val="en-US" w:eastAsia="zh-CN"/>
              </w:rPr>
              <w:t>危险废物贮存间</w:t>
            </w:r>
            <w:r>
              <w:rPr>
                <w:lang w:val="en-US"/>
              </w:rPr>
              <w:t>均设置专人看管并定期检查原料的使用和泄漏情况，运输过程中运输人员需合规操作，避免风险物质泄漏。当物料发生泄漏时，立即将泄漏物料转至备用桶中，并用吸附物质处理泄漏物料，处理完毕将泄漏物料密封，交由有资质单位处理。</w:t>
            </w:r>
          </w:p>
          <w:p>
            <w:pPr>
              <w:keepNext w:val="0"/>
              <w:keepLines w:val="0"/>
              <w:pageBreakBefore w:val="0"/>
              <w:widowControl w:val="0"/>
              <w:kinsoku/>
              <w:wordWrap/>
              <w:overflowPunct/>
              <w:topLinePunct w:val="0"/>
              <w:autoSpaceDE w:val="0"/>
              <w:autoSpaceDN w:val="0"/>
              <w:bidi w:val="0"/>
              <w:adjustRightInd/>
              <w:snapToGrid/>
              <w:spacing w:line="500" w:lineRule="exact"/>
              <w:ind w:left="0" w:firstLine="480" w:firstLineChars="200"/>
              <w:jc w:val="left"/>
              <w:textAlignment w:val="auto"/>
              <w:rPr>
                <w:lang w:val="en-US"/>
              </w:rPr>
            </w:pPr>
            <w:r>
              <w:rPr>
                <w:lang w:val="en-US"/>
              </w:rPr>
              <w:t>本项目</w:t>
            </w:r>
            <w:r>
              <w:rPr>
                <w:rFonts w:hint="eastAsia"/>
                <w:lang w:val="en-US" w:eastAsia="zh-CN"/>
              </w:rPr>
              <w:t>危险废物贮存间</w:t>
            </w:r>
            <w:r>
              <w:rPr>
                <w:lang w:val="en-US"/>
              </w:rPr>
              <w:t>地面</w:t>
            </w:r>
            <w:r>
              <w:rPr>
                <w:rFonts w:hint="eastAsia"/>
                <w:lang w:val="en-US"/>
              </w:rPr>
              <w:t>已进行</w:t>
            </w:r>
            <w:r>
              <w:rPr>
                <w:lang w:val="en-US"/>
              </w:rPr>
              <w:t>防腐蚀、防渗漏处理并定期维护，可以有效杜绝防渗层的破裂。</w:t>
            </w:r>
            <w:r>
              <w:rPr>
                <w:rFonts w:hint="eastAsia" w:eastAsia="宋体"/>
                <w:color w:val="auto"/>
                <w:spacing w:val="-2"/>
                <w:szCs w:val="24"/>
                <w:lang w:eastAsia="zh-CN"/>
              </w:rPr>
              <w:t>危险废物贮存间</w:t>
            </w:r>
            <w:r>
              <w:rPr>
                <w:color w:val="auto"/>
                <w:spacing w:val="-4"/>
                <w:szCs w:val="24"/>
              </w:rPr>
              <w:t>防渗系数≤10</w:t>
            </w:r>
            <w:r>
              <w:rPr>
                <w:color w:val="auto"/>
                <w:spacing w:val="-4"/>
                <w:szCs w:val="24"/>
                <w:vertAlign w:val="superscript"/>
              </w:rPr>
              <w:t>-</w:t>
            </w:r>
            <w:r>
              <w:rPr>
                <w:rFonts w:hint="eastAsia" w:eastAsia="宋体"/>
                <w:color w:val="auto"/>
                <w:spacing w:val="-4"/>
                <w:szCs w:val="24"/>
                <w:vertAlign w:val="superscript"/>
                <w:lang w:val="en-US" w:eastAsia="zh-CN"/>
              </w:rPr>
              <w:t>10</w:t>
            </w:r>
            <w:r>
              <w:rPr>
                <w:color w:val="auto"/>
                <w:spacing w:val="-4"/>
                <w:szCs w:val="24"/>
              </w:rPr>
              <w:t>cm/s</w:t>
            </w:r>
            <w:r>
              <w:rPr>
                <w:rFonts w:hint="eastAsia"/>
                <w:color w:val="auto"/>
                <w:spacing w:val="-4"/>
                <w:szCs w:val="24"/>
              </w:rPr>
              <w:t>，</w:t>
            </w:r>
            <w:r>
              <w:rPr>
                <w:rFonts w:hint="eastAsia"/>
                <w:color w:val="auto"/>
                <w:spacing w:val="-2"/>
                <w:szCs w:val="24"/>
              </w:rPr>
              <w:t>厂区内地面</w:t>
            </w:r>
            <w:r>
              <w:rPr>
                <w:rFonts w:hint="eastAsia"/>
                <w:color w:val="auto"/>
                <w:spacing w:val="-2"/>
                <w:szCs w:val="24"/>
                <w:lang w:eastAsia="zh-CN"/>
              </w:rPr>
              <w:t>已做一般水泥地面硬化处理，</w:t>
            </w:r>
            <w:r>
              <w:rPr>
                <w:rFonts w:hint="eastAsia"/>
                <w:snapToGrid w:val="0"/>
                <w:color w:val="auto"/>
                <w:kern w:val="0"/>
                <w:szCs w:val="24"/>
              </w:rPr>
              <w:t>采取防渗措施后，对区域地下水</w:t>
            </w:r>
            <w:r>
              <w:rPr>
                <w:rFonts w:hint="eastAsia"/>
                <w:snapToGrid w:val="0"/>
                <w:color w:val="auto"/>
                <w:kern w:val="0"/>
                <w:szCs w:val="24"/>
                <w:lang w:eastAsia="zh-CN"/>
              </w:rPr>
              <w:t>、土壤</w:t>
            </w:r>
            <w:r>
              <w:rPr>
                <w:rFonts w:hint="eastAsia"/>
                <w:snapToGrid w:val="0"/>
                <w:color w:val="auto"/>
                <w:kern w:val="0"/>
                <w:szCs w:val="24"/>
              </w:rPr>
              <w:t>环境影响较小</w:t>
            </w:r>
            <w:r>
              <w:rPr>
                <w:rFonts w:hint="eastAsia" w:hAnsi="宋体"/>
                <w:snapToGrid w:val="0"/>
                <w:color w:val="auto"/>
                <w:kern w:val="0"/>
              </w:rPr>
              <w:t>。</w:t>
            </w:r>
          </w:p>
          <w:p>
            <w:pPr>
              <w:keepNext w:val="0"/>
              <w:keepLines w:val="0"/>
              <w:pageBreakBefore w:val="0"/>
              <w:widowControl w:val="0"/>
              <w:kinsoku/>
              <w:wordWrap/>
              <w:overflowPunct/>
              <w:topLinePunct w:val="0"/>
              <w:autoSpaceDE w:val="0"/>
              <w:autoSpaceDN w:val="0"/>
              <w:bidi w:val="0"/>
              <w:adjustRightInd/>
              <w:snapToGrid/>
              <w:spacing w:line="500" w:lineRule="exact"/>
              <w:ind w:left="0" w:firstLine="482" w:firstLineChars="200"/>
              <w:jc w:val="left"/>
              <w:textAlignment w:val="auto"/>
              <w:rPr>
                <w:b/>
                <w:bCs/>
                <w:lang w:val="en-US"/>
              </w:rPr>
            </w:pPr>
            <w:r>
              <w:rPr>
                <w:rFonts w:hint="eastAsia"/>
                <w:b/>
                <w:bCs/>
                <w:lang w:val="en-US" w:eastAsia="zh-CN"/>
              </w:rPr>
              <w:t>5</w:t>
            </w:r>
            <w:r>
              <w:rPr>
                <w:b/>
                <w:bCs/>
                <w:lang w:val="en-US"/>
              </w:rPr>
              <w:t>.4环境风险防范措施</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lang w:val="en-US" w:eastAsia="zh-CN"/>
              </w:rPr>
            </w:pPr>
            <w:r>
              <w:rPr>
                <w:rFonts w:hint="default"/>
                <w:lang w:val="en-US" w:eastAsia="zh-CN"/>
              </w:rPr>
              <w:t>（1）项目废气处理设施破损防范措施</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lang w:val="en-US" w:eastAsia="zh-CN"/>
              </w:rPr>
            </w:pPr>
            <w:r>
              <w:rPr>
                <w:rFonts w:hint="default"/>
                <w:lang w:val="en-US" w:eastAsia="zh-CN"/>
              </w:rPr>
              <w:t>①项目废气处理设施采用正规设计厂家生产的设备，并严格按正规要求安装。</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lang w:val="en-US" w:eastAsia="zh-CN"/>
              </w:rPr>
            </w:pPr>
            <w:r>
              <w:rPr>
                <w:rFonts w:hint="default"/>
                <w:lang w:val="en-US" w:eastAsia="zh-CN"/>
              </w:rPr>
              <w:t>②项目安排专人定期检查维修保养废气处理设施。</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lang w:val="en-US" w:eastAsia="zh-CN"/>
              </w:rPr>
            </w:pPr>
            <w:r>
              <w:rPr>
                <w:rFonts w:hint="default"/>
                <w:lang w:val="en-US" w:eastAsia="zh-CN"/>
              </w:rPr>
              <w:t>③当发现废气处理设施有破损时，应当立即停止生产。</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lang w:val="en-US" w:eastAsia="zh-CN"/>
              </w:rPr>
            </w:pPr>
            <w:r>
              <w:rPr>
                <w:rFonts w:hint="default"/>
                <w:lang w:val="en-US" w:eastAsia="zh-CN"/>
              </w:rPr>
              <w:t>（2）项目危险废物间防范措施</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lang w:val="en-US" w:eastAsia="zh-CN"/>
              </w:rPr>
            </w:pPr>
            <w:r>
              <w:rPr>
                <w:rFonts w:hint="default"/>
                <w:lang w:val="en-US" w:eastAsia="zh-CN"/>
              </w:rPr>
              <w:t>①项目危险废物定期更换后避免露天存放，需要使用密闭包装容器盛装。</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lang w:val="en-US" w:eastAsia="zh-CN"/>
              </w:rPr>
            </w:pPr>
            <w:r>
              <w:rPr>
                <w:rFonts w:hint="default"/>
                <w:lang w:val="en-US" w:eastAsia="zh-CN"/>
              </w:rPr>
              <w:t>②危险废物暂存间要做好防风、防雨、防晒、</w:t>
            </w:r>
            <w:r>
              <w:rPr>
                <w:rFonts w:hint="eastAsia"/>
                <w:lang w:val="en-US" w:eastAsia="zh-CN"/>
              </w:rPr>
              <w:t>防</w:t>
            </w:r>
            <w:r>
              <w:rPr>
                <w:rFonts w:hint="default"/>
                <w:lang w:val="en-US" w:eastAsia="zh-CN"/>
              </w:rPr>
              <w:t>渗漏等措施。</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lang w:val="en-US" w:eastAsia="zh-CN"/>
              </w:rPr>
            </w:pPr>
            <w:r>
              <w:rPr>
                <w:rFonts w:hint="default"/>
                <w:lang w:val="en-US" w:eastAsia="zh-CN"/>
              </w:rPr>
              <w:t>（3）项目火灾防范措施</w:t>
            </w:r>
          </w:p>
          <w:p>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lang w:val="en-US" w:eastAsia="zh-CN"/>
              </w:rPr>
            </w:pPr>
            <w:r>
              <w:rPr>
                <w:rFonts w:hint="default"/>
                <w:lang w:val="en-US" w:eastAsia="zh-CN"/>
              </w:rPr>
              <w:t>①</w:t>
            </w:r>
            <w:r>
              <w:rPr>
                <w:rFonts w:hint="eastAsia"/>
                <w:lang w:val="en-US" w:eastAsia="zh-CN"/>
              </w:rPr>
              <w:t>危废间内设置废液收集池、</w:t>
            </w:r>
            <w:r>
              <w:rPr>
                <w:rFonts w:hint="default"/>
                <w:lang w:val="en-US" w:eastAsia="zh-CN"/>
              </w:rPr>
              <w:t>门槛，发生应急事故时产生的废水能截留在仓库或车间内，以免废水对周围环境造成二次污染。</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sz w:val="24"/>
              </w:rPr>
            </w:pPr>
            <w:r>
              <w:rPr>
                <w:rFonts w:hint="eastAsia"/>
                <w:sz w:val="24"/>
                <w:lang w:eastAsia="zh-CN"/>
              </w:rPr>
              <w:t>（</w:t>
            </w:r>
            <w:r>
              <w:rPr>
                <w:rFonts w:hint="eastAsia"/>
                <w:sz w:val="24"/>
                <w:lang w:val="en-US" w:eastAsia="zh-CN"/>
              </w:rPr>
              <w:t>4</w:t>
            </w:r>
            <w:r>
              <w:rPr>
                <w:rFonts w:hint="eastAsia"/>
                <w:sz w:val="24"/>
                <w:lang w:eastAsia="zh-CN"/>
              </w:rPr>
              <w:t>）</w:t>
            </w:r>
            <w:r>
              <w:rPr>
                <w:sz w:val="24"/>
              </w:rPr>
              <w:t>应急预案</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lang w:val="en-US" w:eastAsia="zh-CN"/>
              </w:rPr>
            </w:pPr>
            <w:r>
              <w:rPr>
                <w:sz w:val="24"/>
              </w:rPr>
              <w:t>本项目生产过程中涉及到的主要风险物质为</w:t>
            </w:r>
            <w:r>
              <w:rPr>
                <w:rFonts w:hint="eastAsia"/>
                <w:sz w:val="24"/>
                <w:lang w:eastAsia="zh-CN"/>
              </w:rPr>
              <w:t>废润滑油</w:t>
            </w:r>
            <w:r>
              <w:rPr>
                <w:sz w:val="24"/>
              </w:rPr>
              <w:t>，为落实国家突发环境事件应急管理要求，有效应对突发环境事件，建立健全突发环境污染事故应急机制，规范公司环境应急管理工作、提高公司应对突发环境事件的应对能力，将突发环境事件对人员、财产和环境造成的损失降低至最小程度，最大限度地保障人民群众的生命财产安全及环境安全，维护社会稳定，促进社会全面、协调、可持续发展，本项目建成后，应依据《中华人民共和国突发事件应对法》、《企业事业单位突发环境事件应急预案备案管理办法》（试行）的相关要求，进行《突发环境事件应急预案》编制及备案工作。</w:t>
            </w:r>
          </w:p>
          <w:p>
            <w:pPr>
              <w:keepNext w:val="0"/>
              <w:keepLines w:val="0"/>
              <w:pageBreakBefore w:val="0"/>
              <w:widowControl w:val="0"/>
              <w:kinsoku/>
              <w:wordWrap/>
              <w:overflowPunct/>
              <w:topLinePunct w:val="0"/>
              <w:autoSpaceDE w:val="0"/>
              <w:autoSpaceDN w:val="0"/>
              <w:bidi w:val="0"/>
              <w:adjustRightInd/>
              <w:snapToGrid/>
              <w:spacing w:line="500" w:lineRule="exact"/>
              <w:ind w:left="0" w:firstLine="482" w:firstLineChars="200"/>
              <w:jc w:val="left"/>
              <w:textAlignment w:val="auto"/>
              <w:rPr>
                <w:b/>
                <w:bCs/>
                <w:lang w:val="en-US"/>
              </w:rPr>
            </w:pPr>
            <w:r>
              <w:rPr>
                <w:rFonts w:hint="eastAsia"/>
                <w:b/>
                <w:bCs/>
                <w:lang w:val="en-US" w:eastAsia="zh-CN"/>
              </w:rPr>
              <w:t>5</w:t>
            </w:r>
            <w:r>
              <w:rPr>
                <w:b/>
                <w:bCs/>
                <w:lang w:val="en-US"/>
              </w:rPr>
              <w:t>.5环境风险结论</w:t>
            </w:r>
          </w:p>
          <w:p>
            <w:pPr>
              <w:keepNext w:val="0"/>
              <w:keepLines w:val="0"/>
              <w:pageBreakBefore w:val="0"/>
              <w:widowControl w:val="0"/>
              <w:kinsoku/>
              <w:wordWrap/>
              <w:overflowPunct/>
              <w:topLinePunct w:val="0"/>
              <w:autoSpaceDE w:val="0"/>
              <w:autoSpaceDN w:val="0"/>
              <w:bidi w:val="0"/>
              <w:adjustRightInd/>
              <w:snapToGrid/>
              <w:spacing w:line="500" w:lineRule="exact"/>
              <w:ind w:left="0" w:firstLine="480" w:firstLineChars="200"/>
              <w:jc w:val="left"/>
              <w:textAlignment w:val="auto"/>
              <w:rPr>
                <w:lang w:val="en-US"/>
              </w:rPr>
            </w:pPr>
            <w:r>
              <w:rPr>
                <w:lang w:val="en-US"/>
              </w:rPr>
              <w:t>本项目从管理、员工培训等各方面积极采取防范措施，确保项目运行的安全性；同时在严格执行国家相关法律、法规和规范，按相关操作规章操作的前提下，可以将事故风险降到最低。通过采取相应的控制措施后，本项目环境风险可防控。</w:t>
            </w:r>
          </w:p>
          <w:p>
            <w:pPr>
              <w:spacing w:line="360" w:lineRule="auto"/>
              <w:jc w:val="left"/>
              <w:rPr>
                <w:lang w:val="en-US"/>
              </w:rPr>
            </w:pPr>
          </w:p>
        </w:tc>
      </w:tr>
    </w:tbl>
    <w:p>
      <w:pPr>
        <w:rPr>
          <w:sz w:val="21"/>
        </w:rPr>
        <w:sectPr>
          <w:pgSz w:w="11910" w:h="16850"/>
          <w:pgMar w:top="1417" w:right="1247" w:bottom="1417" w:left="1247" w:header="0" w:footer="1247" w:gutter="0"/>
          <w:cols w:space="720" w:num="1"/>
        </w:sectPr>
      </w:pPr>
    </w:p>
    <w:p>
      <w:pPr>
        <w:pStyle w:val="3"/>
        <w:spacing w:after="120"/>
        <w:rPr>
          <w:sz w:val="21"/>
        </w:rPr>
      </w:pPr>
      <w:r>
        <w:rPr>
          <w:rFonts w:hint="eastAsia" w:ascii="宋体" w:hAnsi="宋体" w:cs="宋体"/>
        </w:rPr>
        <w:t>五、环境保护措施监督检查清单</w:t>
      </w:r>
    </w:p>
    <w:tbl>
      <w:tblPr>
        <w:tblStyle w:val="15"/>
        <w:tblW w:w="0" w:type="auto"/>
        <w:tblInd w:w="2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78"/>
        <w:gridCol w:w="877"/>
        <w:gridCol w:w="878"/>
        <w:gridCol w:w="1434"/>
        <w:gridCol w:w="2077"/>
        <w:gridCol w:w="17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blHeader/>
        </w:trPr>
        <w:tc>
          <w:tcPr>
            <w:tcW w:w="1778" w:type="dxa"/>
            <w:tcBorders>
              <w:bottom w:val="single" w:color="000000" w:sz="4" w:space="0"/>
              <w:right w:val="single" w:color="000000" w:sz="4" w:space="0"/>
              <w:tl2br w:val="single" w:color="000000" w:sz="8" w:space="0"/>
            </w:tcBorders>
            <w:vAlign w:val="center"/>
          </w:tcPr>
          <w:p>
            <w:pPr>
              <w:pStyle w:val="23"/>
              <w:rPr>
                <w:b/>
                <w:bCs/>
                <w:sz w:val="21"/>
                <w:szCs w:val="21"/>
              </w:rPr>
            </w:pPr>
            <w:r>
              <w:rPr>
                <w:b/>
                <w:bCs/>
                <w:sz w:val="21"/>
                <w:szCs w:val="21"/>
              </w:rPr>
              <w:t>内容</w:t>
            </w:r>
          </w:p>
          <w:p>
            <w:pPr>
              <w:pStyle w:val="23"/>
              <w:spacing w:line="250" w:lineRule="exact"/>
              <w:jc w:val="both"/>
              <w:rPr>
                <w:b/>
                <w:bCs/>
                <w:sz w:val="21"/>
                <w:szCs w:val="21"/>
              </w:rPr>
            </w:pPr>
            <w:r>
              <w:rPr>
                <w:b/>
                <w:bCs/>
                <w:sz w:val="21"/>
                <w:szCs w:val="21"/>
              </w:rPr>
              <w:t>要素</w:t>
            </w:r>
          </w:p>
        </w:tc>
        <w:tc>
          <w:tcPr>
            <w:tcW w:w="1755" w:type="dxa"/>
            <w:gridSpan w:val="2"/>
            <w:tcBorders>
              <w:left w:val="single" w:color="000000" w:sz="4" w:space="0"/>
              <w:bottom w:val="single" w:color="000000" w:sz="4" w:space="0"/>
              <w:right w:val="single" w:color="000000" w:sz="4" w:space="0"/>
            </w:tcBorders>
            <w:vAlign w:val="center"/>
          </w:tcPr>
          <w:p>
            <w:pPr>
              <w:pStyle w:val="23"/>
              <w:spacing w:line="270" w:lineRule="atLeast"/>
              <w:rPr>
                <w:b/>
                <w:bCs/>
                <w:sz w:val="21"/>
              </w:rPr>
            </w:pPr>
            <w:r>
              <w:rPr>
                <w:b/>
                <w:bCs/>
                <w:sz w:val="21"/>
              </w:rPr>
              <w:t>排放口(编号、名称)/污染源</w:t>
            </w:r>
          </w:p>
        </w:tc>
        <w:tc>
          <w:tcPr>
            <w:tcW w:w="1434" w:type="dxa"/>
            <w:tcBorders>
              <w:left w:val="single" w:color="000000" w:sz="4" w:space="0"/>
              <w:bottom w:val="single" w:color="000000" w:sz="4" w:space="0"/>
              <w:right w:val="single" w:color="000000" w:sz="4" w:space="0"/>
            </w:tcBorders>
            <w:vAlign w:val="center"/>
          </w:tcPr>
          <w:p>
            <w:pPr>
              <w:pStyle w:val="23"/>
              <w:rPr>
                <w:b/>
                <w:bCs/>
                <w:sz w:val="21"/>
              </w:rPr>
            </w:pPr>
            <w:r>
              <w:rPr>
                <w:b/>
                <w:bCs/>
                <w:sz w:val="21"/>
              </w:rPr>
              <w:t>污染物项目</w:t>
            </w:r>
          </w:p>
        </w:tc>
        <w:tc>
          <w:tcPr>
            <w:tcW w:w="2077" w:type="dxa"/>
            <w:tcBorders>
              <w:left w:val="single" w:color="000000" w:sz="4" w:space="0"/>
              <w:bottom w:val="single" w:color="000000" w:sz="4" w:space="0"/>
              <w:right w:val="single" w:color="000000" w:sz="4" w:space="0"/>
            </w:tcBorders>
            <w:vAlign w:val="center"/>
          </w:tcPr>
          <w:p>
            <w:pPr>
              <w:pStyle w:val="23"/>
              <w:rPr>
                <w:b/>
                <w:bCs/>
                <w:sz w:val="21"/>
              </w:rPr>
            </w:pPr>
            <w:r>
              <w:rPr>
                <w:b/>
                <w:bCs/>
                <w:sz w:val="21"/>
              </w:rPr>
              <w:t>环境保护措施</w:t>
            </w:r>
          </w:p>
        </w:tc>
        <w:tc>
          <w:tcPr>
            <w:tcW w:w="1758" w:type="dxa"/>
            <w:tcBorders>
              <w:left w:val="single" w:color="000000" w:sz="4" w:space="0"/>
              <w:bottom w:val="single" w:color="000000" w:sz="4" w:space="0"/>
            </w:tcBorders>
            <w:vAlign w:val="center"/>
          </w:tcPr>
          <w:p>
            <w:pPr>
              <w:pStyle w:val="23"/>
              <w:rPr>
                <w:b/>
                <w:bCs/>
                <w:sz w:val="21"/>
              </w:rPr>
            </w:pPr>
            <w:r>
              <w:rPr>
                <w:b/>
                <w:bCs/>
                <w:sz w:val="21"/>
              </w:rPr>
              <w:t>执行标准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trPr>
        <w:tc>
          <w:tcPr>
            <w:tcW w:w="1778" w:type="dxa"/>
            <w:vMerge w:val="restart"/>
            <w:tcBorders>
              <w:top w:val="single" w:color="000000" w:sz="4" w:space="0"/>
              <w:right w:val="single" w:color="000000" w:sz="4" w:space="0"/>
            </w:tcBorders>
            <w:vAlign w:val="center"/>
          </w:tcPr>
          <w:p>
            <w:pPr>
              <w:pStyle w:val="23"/>
              <w:spacing w:line="240" w:lineRule="auto"/>
              <w:rPr>
                <w:rFonts w:ascii="Times New Roman" w:hAnsi="Times New Roman" w:cs="Times New Roman"/>
                <w:b/>
                <w:bCs/>
                <w:sz w:val="21"/>
                <w:szCs w:val="21"/>
              </w:rPr>
            </w:pPr>
            <w:r>
              <w:rPr>
                <w:rFonts w:ascii="Times New Roman" w:hAnsi="Times New Roman" w:cs="Times New Roman"/>
                <w:b/>
                <w:bCs/>
                <w:sz w:val="21"/>
                <w:szCs w:val="21"/>
              </w:rPr>
              <w:t>大气环境</w:t>
            </w:r>
          </w:p>
        </w:tc>
        <w:tc>
          <w:tcPr>
            <w:tcW w:w="1755"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厂</w:t>
            </w:r>
            <w:r>
              <w:rPr>
                <w:rFonts w:hint="eastAsia" w:ascii="Times New Roman" w:hAnsi="Times New Roman" w:cs="Times New Roman"/>
                <w:sz w:val="21"/>
                <w:szCs w:val="21"/>
                <w:lang w:eastAsia="zh-CN"/>
              </w:rPr>
              <w:t>区</w:t>
            </w:r>
          </w:p>
        </w:tc>
        <w:tc>
          <w:tcPr>
            <w:tcW w:w="143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颗粒物</w:t>
            </w:r>
          </w:p>
        </w:tc>
        <w:tc>
          <w:tcPr>
            <w:tcW w:w="2077" w:type="dxa"/>
            <w:tcBorders>
              <w:top w:val="single" w:color="000000" w:sz="4" w:space="0"/>
              <w:left w:val="single" w:color="000000" w:sz="4" w:space="0"/>
              <w:bottom w:val="single" w:color="000000" w:sz="4" w:space="0"/>
              <w:right w:val="single" w:color="000000" w:sz="4" w:space="0"/>
            </w:tcBorders>
            <w:vAlign w:val="center"/>
          </w:tcPr>
          <w:p>
            <w:pPr>
              <w:pStyle w:val="23"/>
              <w:spacing w:line="240" w:lineRule="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highlight w:val="none"/>
                <w:lang w:eastAsia="zh-CN"/>
              </w:rPr>
              <w:t>原料</w:t>
            </w:r>
            <w:r>
              <w:rPr>
                <w:rFonts w:hint="default" w:ascii="Times New Roman" w:hAnsi="Times New Roman" w:eastAsia="宋体" w:cs="Times New Roman"/>
                <w:sz w:val="21"/>
                <w:szCs w:val="21"/>
                <w:highlight w:val="none"/>
              </w:rPr>
              <w:t>堆</w:t>
            </w:r>
            <w:r>
              <w:rPr>
                <w:rFonts w:hint="eastAsia" w:ascii="Times New Roman" w:hAnsi="Times New Roman" w:cs="Times New Roman"/>
                <w:sz w:val="21"/>
                <w:szCs w:val="21"/>
                <w:highlight w:val="none"/>
                <w:lang w:eastAsia="zh-CN"/>
              </w:rPr>
              <w:t>与成品堆堆</w:t>
            </w:r>
            <w:r>
              <w:rPr>
                <w:rFonts w:hint="default" w:ascii="Times New Roman" w:hAnsi="Times New Roman" w:eastAsia="宋体" w:cs="Times New Roman"/>
                <w:sz w:val="21"/>
                <w:szCs w:val="21"/>
                <w:highlight w:val="none"/>
              </w:rPr>
              <w:t>存点上方设置喷淋装置；</w:t>
            </w:r>
            <w:r>
              <w:rPr>
                <w:rFonts w:hint="default" w:ascii="Times New Roman" w:hAnsi="Times New Roman" w:eastAsia="宋体" w:cs="Times New Roman"/>
                <w:sz w:val="21"/>
                <w:szCs w:val="21"/>
                <w:highlight w:val="none"/>
                <w:lang w:eastAsia="zh-CN"/>
              </w:rPr>
              <w:t>皮带机密闭；</w:t>
            </w:r>
            <w:r>
              <w:rPr>
                <w:rFonts w:hint="eastAsia" w:ascii="Times New Roman" w:hAnsi="Times New Roman" w:cs="Times New Roman"/>
                <w:sz w:val="21"/>
                <w:szCs w:val="21"/>
                <w:highlight w:val="none"/>
                <w:lang w:eastAsia="zh-CN"/>
              </w:rPr>
              <w:t>原料库、成品库存车间</w:t>
            </w:r>
            <w:r>
              <w:rPr>
                <w:rFonts w:hint="default" w:ascii="Times New Roman" w:hAnsi="Times New Roman" w:eastAsia="宋体" w:cs="Times New Roman"/>
                <w:sz w:val="21"/>
                <w:szCs w:val="21"/>
                <w:highlight w:val="none"/>
                <w:lang w:eastAsia="zh-CN"/>
              </w:rPr>
              <w:t>洒水抑尘；厂区地面硬化，出入口设置</w:t>
            </w:r>
            <w:r>
              <w:rPr>
                <w:rFonts w:hint="eastAsia" w:ascii="Times New Roman" w:hAnsi="Times New Roman" w:cs="Times New Roman"/>
                <w:sz w:val="21"/>
                <w:szCs w:val="21"/>
                <w:highlight w:val="none"/>
                <w:lang w:eastAsia="zh-CN"/>
              </w:rPr>
              <w:t>洗车平台。</w:t>
            </w:r>
          </w:p>
        </w:tc>
        <w:tc>
          <w:tcPr>
            <w:tcW w:w="1758" w:type="dxa"/>
            <w:tcBorders>
              <w:top w:val="single" w:color="000000" w:sz="4" w:space="0"/>
              <w:left w:val="single" w:color="000000" w:sz="4" w:space="0"/>
            </w:tcBorders>
            <w:vAlign w:val="center"/>
          </w:tcPr>
          <w:p>
            <w:pPr>
              <w:pStyle w:val="23"/>
              <w:spacing w:line="240" w:lineRule="auto"/>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《大气污染物综合排放标准》（GB16297-1996）表2中：颗粒物无组织排放周界外浓度最高点1.0mg/Nm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trPr>
        <w:tc>
          <w:tcPr>
            <w:tcW w:w="1778" w:type="dxa"/>
            <w:vMerge w:val="continue"/>
            <w:tcBorders>
              <w:bottom w:val="single" w:color="000000" w:sz="4" w:space="0"/>
              <w:right w:val="single" w:color="000000" w:sz="4" w:space="0"/>
            </w:tcBorders>
            <w:vAlign w:val="center"/>
          </w:tcPr>
          <w:p>
            <w:pPr>
              <w:pStyle w:val="23"/>
              <w:spacing w:line="240" w:lineRule="auto"/>
              <w:rPr>
                <w:rFonts w:ascii="Times New Roman" w:hAnsi="Times New Roman" w:cs="Times New Roman"/>
                <w:b/>
                <w:bCs/>
                <w:sz w:val="21"/>
                <w:szCs w:val="21"/>
              </w:rPr>
            </w:pPr>
          </w:p>
        </w:tc>
        <w:tc>
          <w:tcPr>
            <w:tcW w:w="1755"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DA001</w:t>
            </w:r>
          </w:p>
        </w:tc>
        <w:tc>
          <w:tcPr>
            <w:tcW w:w="1434" w:type="dxa"/>
            <w:tcBorders>
              <w:top w:val="single" w:color="000000" w:sz="4" w:space="0"/>
              <w:left w:val="single" w:color="000000" w:sz="4" w:space="0"/>
              <w:bottom w:val="single" w:color="000000" w:sz="4" w:space="0"/>
              <w:right w:val="single" w:color="000000" w:sz="4" w:space="0"/>
            </w:tcBorders>
            <w:vAlign w:val="center"/>
          </w:tcPr>
          <w:p>
            <w:pPr>
              <w:pStyle w:val="23"/>
              <w:spacing w:line="240" w:lineRule="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颗粒物</w:t>
            </w:r>
          </w:p>
        </w:tc>
        <w:tc>
          <w:tcPr>
            <w:tcW w:w="2077" w:type="dxa"/>
            <w:tcBorders>
              <w:top w:val="single" w:color="000000" w:sz="4" w:space="0"/>
              <w:left w:val="single" w:color="000000" w:sz="4" w:space="0"/>
              <w:bottom w:val="single" w:color="000000" w:sz="4" w:space="0"/>
              <w:right w:val="single" w:color="000000" w:sz="4" w:space="0"/>
            </w:tcBorders>
            <w:vAlign w:val="center"/>
          </w:tcPr>
          <w:p>
            <w:pPr>
              <w:pStyle w:val="23"/>
              <w:spacing w:line="240" w:lineRule="auto"/>
              <w:rPr>
                <w:rFonts w:hint="eastAsia"/>
                <w:color w:val="auto"/>
                <w:sz w:val="21"/>
                <w:szCs w:val="21"/>
                <w:lang w:val="en-US" w:eastAsia="zh-CN"/>
              </w:rPr>
            </w:pPr>
            <w:r>
              <w:rPr>
                <w:rFonts w:hint="eastAsia" w:ascii="Times New Roman" w:hAnsi="Times New Roman" w:cs="Times New Roman"/>
                <w:color w:val="auto"/>
                <w:sz w:val="21"/>
                <w:szCs w:val="21"/>
                <w:lang w:eastAsia="zh-CN"/>
              </w:rPr>
              <w:t>破碎、筛分</w:t>
            </w:r>
            <w:r>
              <w:rPr>
                <w:rFonts w:hint="default" w:ascii="Times New Roman" w:hAnsi="Times New Roman" w:eastAsia="宋体" w:cs="Times New Roman"/>
                <w:color w:val="auto"/>
                <w:sz w:val="21"/>
                <w:szCs w:val="21"/>
                <w:lang w:eastAsia="zh-CN"/>
              </w:rPr>
              <w:t>工序均在封闭的</w:t>
            </w:r>
            <w:r>
              <w:rPr>
                <w:rFonts w:hint="eastAsia" w:ascii="Times New Roman" w:hAnsi="Times New Roman" w:cs="Times New Roman"/>
                <w:color w:val="auto"/>
                <w:sz w:val="21"/>
                <w:szCs w:val="21"/>
                <w:lang w:eastAsia="zh-CN"/>
              </w:rPr>
              <w:t>封闭式生产车间</w:t>
            </w:r>
            <w:r>
              <w:rPr>
                <w:rFonts w:hint="default" w:ascii="Times New Roman" w:hAnsi="Times New Roman" w:eastAsia="宋体" w:cs="Times New Roman"/>
                <w:color w:val="auto"/>
                <w:sz w:val="21"/>
                <w:szCs w:val="21"/>
                <w:lang w:eastAsia="zh-CN"/>
              </w:rPr>
              <w:t>内进行，</w:t>
            </w:r>
            <w:r>
              <w:rPr>
                <w:rFonts w:hint="eastAsia" w:ascii="Times New Roman" w:hAnsi="Times New Roman" w:cs="Times New Roman"/>
                <w:color w:val="auto"/>
                <w:sz w:val="21"/>
                <w:szCs w:val="21"/>
                <w:lang w:eastAsia="zh-CN"/>
              </w:rPr>
              <w:t>破碎机</w:t>
            </w:r>
            <w:r>
              <w:rPr>
                <w:rFonts w:hint="eastAsia"/>
                <w:color w:val="auto"/>
                <w:lang w:eastAsia="zh-CN"/>
              </w:rPr>
              <w:t>、</w:t>
            </w:r>
            <w:r>
              <w:rPr>
                <w:rFonts w:hint="eastAsia"/>
                <w:color w:val="auto"/>
                <w:sz w:val="21"/>
                <w:szCs w:val="21"/>
                <w:lang w:eastAsia="zh-CN"/>
              </w:rPr>
              <w:t>筛分机</w:t>
            </w:r>
            <w:r>
              <w:rPr>
                <w:rFonts w:hint="eastAsia" w:ascii="Times New Roman" w:hAnsi="Times New Roman" w:cs="Times New Roman"/>
                <w:color w:val="auto"/>
                <w:sz w:val="21"/>
                <w:szCs w:val="21"/>
                <w:lang w:eastAsia="zh-CN"/>
              </w:rPr>
              <w:t>进、出料口</w:t>
            </w:r>
            <w:r>
              <w:rPr>
                <w:rFonts w:hint="default" w:ascii="Times New Roman" w:hAnsi="Times New Roman" w:eastAsia="宋体" w:cs="Times New Roman"/>
                <w:color w:val="auto"/>
                <w:sz w:val="21"/>
                <w:szCs w:val="21"/>
              </w:rPr>
              <w:t>设置</w:t>
            </w:r>
            <w:r>
              <w:rPr>
                <w:rFonts w:hint="default" w:ascii="Times New Roman" w:hAnsi="Times New Roman" w:eastAsia="宋体" w:cs="Times New Roman"/>
                <w:color w:val="auto"/>
                <w:sz w:val="21"/>
                <w:szCs w:val="21"/>
                <w:lang w:eastAsia="zh-CN"/>
              </w:rPr>
              <w:t>封闭</w:t>
            </w:r>
            <w:r>
              <w:rPr>
                <w:rFonts w:hint="default" w:ascii="Times New Roman" w:hAnsi="Times New Roman" w:eastAsia="宋体" w:cs="Times New Roman"/>
                <w:color w:val="auto"/>
                <w:sz w:val="21"/>
                <w:szCs w:val="21"/>
              </w:rPr>
              <w:t>集</w:t>
            </w:r>
            <w:r>
              <w:rPr>
                <w:rFonts w:hint="default" w:ascii="Times New Roman" w:hAnsi="Times New Roman" w:eastAsia="宋体" w:cs="Times New Roman"/>
                <w:color w:val="auto"/>
                <w:sz w:val="21"/>
                <w:szCs w:val="21"/>
                <w:lang w:eastAsia="zh-CN"/>
              </w:rPr>
              <w:t>气</w:t>
            </w:r>
            <w:r>
              <w:rPr>
                <w:rFonts w:hint="default" w:ascii="Times New Roman" w:hAnsi="Times New Roman" w:eastAsia="宋体" w:cs="Times New Roman"/>
                <w:color w:val="auto"/>
                <w:sz w:val="21"/>
                <w:szCs w:val="21"/>
              </w:rPr>
              <w:t>罩，由</w:t>
            </w:r>
            <w:r>
              <w:rPr>
                <w:rFonts w:hint="default" w:ascii="Times New Roman" w:hAnsi="Times New Roman" w:eastAsia="宋体" w:cs="Times New Roman"/>
                <w:color w:val="auto"/>
                <w:sz w:val="21"/>
                <w:szCs w:val="21"/>
                <w:lang w:eastAsia="zh-CN"/>
              </w:rPr>
              <w:t>引</w:t>
            </w:r>
            <w:r>
              <w:rPr>
                <w:rFonts w:hint="default" w:ascii="Times New Roman" w:hAnsi="Times New Roman" w:eastAsia="宋体" w:cs="Times New Roman"/>
                <w:color w:val="auto"/>
                <w:sz w:val="21"/>
                <w:szCs w:val="21"/>
              </w:rPr>
              <w:t>风机将</w:t>
            </w:r>
            <w:r>
              <w:rPr>
                <w:rFonts w:hint="default" w:ascii="Times New Roman" w:hAnsi="Times New Roman" w:eastAsia="宋体" w:cs="Times New Roman"/>
                <w:color w:val="auto"/>
                <w:sz w:val="21"/>
                <w:szCs w:val="21"/>
                <w:lang w:eastAsia="zh-CN"/>
              </w:rPr>
              <w:t>含尘气体</w:t>
            </w:r>
            <w:r>
              <w:rPr>
                <w:rFonts w:hint="default" w:ascii="Times New Roman" w:hAnsi="Times New Roman" w:eastAsia="宋体" w:cs="Times New Roman"/>
                <w:color w:val="auto"/>
                <w:sz w:val="21"/>
                <w:szCs w:val="21"/>
              </w:rPr>
              <w:t>引入</w:t>
            </w:r>
            <w:r>
              <w:rPr>
                <w:rFonts w:hint="default" w:ascii="Times New Roman" w:hAnsi="Times New Roman" w:eastAsia="宋体" w:cs="Times New Roman"/>
                <w:color w:val="auto"/>
                <w:sz w:val="21"/>
                <w:szCs w:val="21"/>
                <w:lang w:eastAsia="zh-CN"/>
              </w:rPr>
              <w:t>的高效脉冲</w:t>
            </w:r>
            <w:r>
              <w:rPr>
                <w:rFonts w:hint="default" w:ascii="Times New Roman" w:hAnsi="Times New Roman" w:eastAsia="宋体" w:cs="Times New Roman"/>
                <w:color w:val="auto"/>
                <w:sz w:val="21"/>
                <w:szCs w:val="21"/>
              </w:rPr>
              <w:t>布袋除尘器</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进行处理，处理后的</w:t>
            </w:r>
            <w:r>
              <w:rPr>
                <w:rFonts w:hint="default" w:ascii="Times New Roman" w:hAnsi="Times New Roman" w:eastAsia="宋体" w:cs="Times New Roman"/>
                <w:color w:val="auto"/>
                <w:sz w:val="21"/>
                <w:szCs w:val="21"/>
                <w:lang w:eastAsia="zh-CN"/>
              </w:rPr>
              <w:t>颗粒物</w:t>
            </w:r>
            <w:r>
              <w:rPr>
                <w:rFonts w:hint="default" w:ascii="Times New Roman" w:hAnsi="Times New Roman" w:eastAsia="宋体" w:cs="Times New Roman"/>
                <w:color w:val="auto"/>
                <w:sz w:val="21"/>
                <w:szCs w:val="21"/>
              </w:rPr>
              <w:t>经</w:t>
            </w:r>
            <w:r>
              <w:rPr>
                <w:rFonts w:hint="eastAsia" w:ascii="Times New Roman" w:hAnsi="Times New Roman" w:cs="Times New Roman"/>
                <w:bCs/>
                <w:color w:val="auto"/>
                <w:sz w:val="21"/>
                <w:szCs w:val="21"/>
                <w:lang w:val="en-US" w:eastAsia="zh-CN"/>
              </w:rPr>
              <w:t>20</w:t>
            </w:r>
            <w:r>
              <w:rPr>
                <w:rFonts w:hint="default" w:ascii="Times New Roman" w:hAnsi="Times New Roman" w:eastAsia="宋体" w:cs="Times New Roman"/>
                <w:color w:val="auto"/>
                <w:sz w:val="21"/>
                <w:szCs w:val="21"/>
              </w:rPr>
              <w:t>米高的排气筒排放。</w:t>
            </w:r>
          </w:p>
        </w:tc>
        <w:tc>
          <w:tcPr>
            <w:tcW w:w="1758" w:type="dxa"/>
            <w:tcBorders>
              <w:top w:val="single" w:color="000000" w:sz="4" w:space="0"/>
              <w:left w:val="single" w:color="000000" w:sz="4" w:space="0"/>
            </w:tcBorders>
            <w:vAlign w:val="center"/>
          </w:tcPr>
          <w:p>
            <w:pPr>
              <w:pStyle w:val="23"/>
              <w:spacing w:line="240" w:lineRule="auto"/>
              <w:rPr>
                <w:rFonts w:hint="eastAsia" w:ascii="Times New Roman" w:hAnsi="Times New Roman" w:cs="Times New Roman"/>
                <w:sz w:val="21"/>
                <w:szCs w:val="21"/>
                <w:lang w:val="en-US" w:eastAsia="zh-CN"/>
              </w:rPr>
            </w:pPr>
            <w:r>
              <w:rPr>
                <w:rFonts w:hint="default" w:ascii="Times New Roman" w:hAnsi="Times New Roman" w:eastAsia="宋体" w:cs="Times New Roman"/>
                <w:color w:val="auto"/>
                <w:sz w:val="21"/>
                <w:szCs w:val="21"/>
              </w:rPr>
              <w:t>《大气污染物综合排放标准》（GB16297-1996）表2中二级标准：颗粒物有组织排放浓度120mg/m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，排放速率</w:t>
            </w:r>
            <w:r>
              <w:rPr>
                <w:rFonts w:hint="default" w:ascii="Times New Roman" w:hAnsi="Times New Roman" w:cs="Times New Roman"/>
                <w:color w:val="auto"/>
                <w:sz w:val="21"/>
                <w:szCs w:val="21"/>
                <w:lang w:val="en-US" w:eastAsia="zh-CN"/>
              </w:rPr>
              <w:t>3.5</w:t>
            </w:r>
            <w:r>
              <w:rPr>
                <w:rFonts w:hint="default" w:ascii="Times New Roman" w:hAnsi="Times New Roman" w:eastAsia="宋体" w:cs="Times New Roman"/>
                <w:color w:val="auto"/>
                <w:sz w:val="21"/>
                <w:szCs w:val="21"/>
              </w:rPr>
              <w:t>kg/h，排气筒高度</w:t>
            </w:r>
            <w:r>
              <w:rPr>
                <w:rFonts w:hint="default" w:ascii="Times New Roman" w:hAnsi="Times New Roman"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sz w:val="21"/>
                <w:szCs w:val="21"/>
                <w:lang w:val="en-US" w:eastAsia="zh-CN"/>
              </w:rPr>
              <w:t>，还应高出周围200m半径范围的建筑物5m以上</w:t>
            </w:r>
            <w:r>
              <w:rPr>
                <w:rFonts w:hint="default" w:ascii="Times New Roman" w:hAnsi="Times New Roman" w:cs="Times New Roman"/>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0" w:hRule="atLeast"/>
        </w:trPr>
        <w:tc>
          <w:tcPr>
            <w:tcW w:w="1778" w:type="dxa"/>
            <w:vMerge w:val="restart"/>
            <w:tcBorders>
              <w:right w:val="single" w:color="000000" w:sz="4" w:space="0"/>
            </w:tcBorders>
            <w:vAlign w:val="center"/>
          </w:tcPr>
          <w:p>
            <w:pPr>
              <w:spacing w:line="240" w:lineRule="auto"/>
              <w:rPr>
                <w:rFonts w:hint="eastAsia" w:eastAsia="宋体"/>
                <w:lang w:eastAsia="zh-CN"/>
              </w:rPr>
            </w:pPr>
            <w:r>
              <w:rPr>
                <w:rFonts w:hint="eastAsia" w:cs="Times New Roman"/>
                <w:b/>
                <w:bCs/>
                <w:sz w:val="21"/>
                <w:szCs w:val="21"/>
                <w:lang w:eastAsia="zh-CN"/>
              </w:rPr>
              <w:t>水</w:t>
            </w:r>
            <w:r>
              <w:rPr>
                <w:rFonts w:ascii="Times New Roman" w:hAnsi="Times New Roman" w:cs="Times New Roman"/>
                <w:b/>
                <w:bCs/>
                <w:sz w:val="21"/>
                <w:szCs w:val="21"/>
              </w:rPr>
              <w:t>环境</w:t>
            </w:r>
          </w:p>
        </w:tc>
        <w:tc>
          <w:tcPr>
            <w:tcW w:w="1755"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sz w:val="21"/>
                <w:szCs w:val="21"/>
                <w:lang w:val="zh-CN" w:eastAsia="zh-CN" w:bidi="zh-CN"/>
              </w:rPr>
            </w:pPr>
            <w:r>
              <w:rPr>
                <w:rFonts w:hint="default" w:ascii="Times New Roman" w:hAnsi="Times New Roman" w:eastAsia="宋体" w:cs="Times New Roman"/>
                <w:color w:val="auto"/>
                <w:sz w:val="21"/>
                <w:szCs w:val="21"/>
                <w:lang w:val="en-US" w:eastAsia="zh-CN"/>
              </w:rPr>
              <w:t>车辆清洗废水</w:t>
            </w:r>
          </w:p>
        </w:tc>
        <w:tc>
          <w:tcPr>
            <w:tcW w:w="143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rPr>
              <w:t>SS</w:t>
            </w:r>
          </w:p>
        </w:tc>
        <w:tc>
          <w:tcPr>
            <w:tcW w:w="2077" w:type="dxa"/>
            <w:tcBorders>
              <w:left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sz w:val="21"/>
                <w:szCs w:val="21"/>
                <w:lang w:val="zh-CN" w:eastAsia="zh-CN" w:bidi="zh-CN"/>
              </w:rPr>
            </w:pPr>
            <w:r>
              <w:rPr>
                <w:rFonts w:hint="default" w:ascii="Times New Roman" w:hAnsi="Times New Roman" w:eastAsia="宋体" w:cs="Times New Roman"/>
                <w:color w:val="auto"/>
                <w:sz w:val="21"/>
                <w:szCs w:val="21"/>
                <w:lang w:val="en-US" w:eastAsia="zh-CN"/>
              </w:rPr>
              <w:t>排入洗</w:t>
            </w:r>
            <w:r>
              <w:rPr>
                <w:rFonts w:hint="eastAsia" w:ascii="Times New Roman" w:hAnsi="Times New Roman" w:cs="Times New Roman"/>
                <w:color w:val="auto"/>
                <w:sz w:val="21"/>
                <w:szCs w:val="21"/>
                <w:lang w:val="en-US" w:eastAsia="zh-CN"/>
              </w:rPr>
              <w:t>车平台</w:t>
            </w:r>
            <w:r>
              <w:rPr>
                <w:rFonts w:hint="default" w:ascii="Times New Roman" w:hAnsi="Times New Roman" w:eastAsia="宋体" w:cs="Times New Roman"/>
                <w:color w:val="auto"/>
                <w:sz w:val="21"/>
                <w:szCs w:val="21"/>
                <w:lang w:val="en-US" w:eastAsia="zh-CN"/>
              </w:rPr>
              <w:t>配套</w:t>
            </w:r>
            <w:r>
              <w:rPr>
                <w:rFonts w:hint="eastAsia" w:ascii="Times New Roman" w:hAnsi="Times New Roman" w:cs="Times New Roman"/>
                <w:color w:val="auto"/>
                <w:sz w:val="21"/>
                <w:szCs w:val="21"/>
                <w:lang w:val="en-US" w:eastAsia="zh-CN"/>
              </w:rPr>
              <w:t>沉淀池</w:t>
            </w:r>
            <w:r>
              <w:rPr>
                <w:rFonts w:hint="default" w:ascii="Times New Roman" w:hAnsi="Times New Roman" w:eastAsia="宋体" w:cs="Times New Roman"/>
                <w:color w:val="auto"/>
                <w:sz w:val="21"/>
                <w:szCs w:val="21"/>
                <w:lang w:val="en-US" w:eastAsia="zh-CN"/>
              </w:rPr>
              <w:t>内，沉淀后回用于车辆清洗</w:t>
            </w:r>
            <w:r>
              <w:rPr>
                <w:rFonts w:hint="eastAsia" w:ascii="Times New Roman" w:hAnsi="Times New Roman" w:cs="Times New Roman"/>
                <w:color w:val="auto"/>
                <w:sz w:val="21"/>
                <w:szCs w:val="21"/>
                <w:lang w:val="en-US" w:eastAsia="zh-CN"/>
              </w:rPr>
              <w:t>。</w:t>
            </w:r>
          </w:p>
        </w:tc>
        <w:tc>
          <w:tcPr>
            <w:tcW w:w="1758" w:type="dxa"/>
            <w:vMerge w:val="restart"/>
            <w:tcBorders>
              <w:left w:val="single" w:color="000000" w:sz="4" w:space="0"/>
            </w:tcBorders>
            <w:vAlign w:val="center"/>
          </w:tcPr>
          <w:p>
            <w:pPr>
              <w:spacing w:line="240" w:lineRule="auto"/>
              <w:rPr>
                <w:rFonts w:hint="default" w:ascii="Times New Roman" w:hAnsi="Times New Roman"/>
                <w:sz w:val="21"/>
                <w:szCs w:val="21"/>
                <w:lang w:val="en-US" w:eastAsia="zh-CN"/>
              </w:rPr>
            </w:pPr>
            <w:r>
              <w:rPr>
                <w:rFonts w:hint="default" w:ascii="Times New Roman" w:hAnsi="Times New Roman" w:eastAsia="宋体" w:cs="Times New Roman"/>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0" w:hRule="atLeast"/>
        </w:trPr>
        <w:tc>
          <w:tcPr>
            <w:tcW w:w="1778" w:type="dxa"/>
            <w:vMerge w:val="continue"/>
            <w:tcBorders>
              <w:bottom w:val="single" w:color="000000" w:sz="4" w:space="0"/>
              <w:right w:val="single" w:color="000000" w:sz="4" w:space="0"/>
            </w:tcBorders>
            <w:vAlign w:val="center"/>
          </w:tcPr>
          <w:p>
            <w:pPr>
              <w:spacing w:line="240" w:lineRule="auto"/>
              <w:rPr>
                <w:rFonts w:hint="eastAsia" w:ascii="Times New Roman" w:hAnsi="Times New Roman"/>
                <w:sz w:val="21"/>
                <w:szCs w:val="21"/>
                <w:lang w:eastAsia="zh-CN"/>
              </w:rPr>
            </w:pPr>
          </w:p>
        </w:tc>
        <w:tc>
          <w:tcPr>
            <w:tcW w:w="1755"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lang w:val="en-US" w:eastAsia="zh-CN"/>
              </w:rPr>
              <w:t>生活废水</w:t>
            </w:r>
          </w:p>
        </w:tc>
        <w:tc>
          <w:tcPr>
            <w:tcW w:w="143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pacing w:val="0"/>
                <w:kern w:val="24"/>
                <w:sz w:val="21"/>
                <w:szCs w:val="21"/>
                <w:lang w:val="en-US" w:eastAsia="zh-CN"/>
              </w:rPr>
              <w:t>pH、</w:t>
            </w: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eastAsia="zh-CN"/>
              </w:rPr>
              <w:t>、总磷</w:t>
            </w:r>
          </w:p>
        </w:tc>
        <w:tc>
          <w:tcPr>
            <w:tcW w:w="2077" w:type="dxa"/>
            <w:tcBorders>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highlight w:val="none"/>
                <w:lang w:val="en-US" w:eastAsia="zh-CN"/>
              </w:rPr>
              <w:t>厂内建有</w:t>
            </w:r>
            <w:r>
              <w:rPr>
                <w:rFonts w:hint="default" w:ascii="Times New Roman" w:hAnsi="Times New Roman" w:eastAsia="宋体" w:cs="Times New Roman"/>
                <w:color w:val="auto"/>
                <w:sz w:val="21"/>
                <w:szCs w:val="21"/>
                <w:highlight w:val="none"/>
                <w:lang w:eastAsia="zh-CN"/>
              </w:rPr>
              <w:t>化粪池，定期清掏</w:t>
            </w:r>
            <w:r>
              <w:rPr>
                <w:rFonts w:hint="eastAsia" w:ascii="Times New Roman" w:hAnsi="Times New Roman" w:cs="Times New Roman"/>
                <w:color w:val="auto"/>
                <w:sz w:val="21"/>
                <w:szCs w:val="21"/>
                <w:highlight w:val="none"/>
                <w:lang w:eastAsia="zh-CN"/>
              </w:rPr>
              <w:t>。</w:t>
            </w:r>
          </w:p>
        </w:tc>
        <w:tc>
          <w:tcPr>
            <w:tcW w:w="1758" w:type="dxa"/>
            <w:vMerge w:val="continue"/>
            <w:tcBorders>
              <w:left w:val="single" w:color="000000" w:sz="4" w:space="0"/>
              <w:bottom w:val="single" w:color="000000" w:sz="4" w:space="0"/>
            </w:tcBorders>
            <w:vAlign w:val="center"/>
          </w:tcPr>
          <w:p>
            <w:pPr>
              <w:spacing w:line="240" w:lineRule="auto"/>
              <w:rPr>
                <w:rFonts w:hint="eastAsia" w:ascii="Times New Roman" w:hAnsi="Times New Roman"/>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778" w:type="dxa"/>
            <w:vMerge w:val="restart"/>
            <w:tcBorders>
              <w:top w:val="single" w:color="000000" w:sz="4" w:space="0"/>
              <w:right w:val="single" w:color="000000" w:sz="4" w:space="0"/>
            </w:tcBorders>
            <w:vAlign w:val="center"/>
          </w:tcPr>
          <w:p>
            <w:pPr>
              <w:pStyle w:val="23"/>
              <w:spacing w:line="240" w:lineRule="auto"/>
              <w:rPr>
                <w:rFonts w:ascii="Times New Roman" w:hAnsi="Times New Roman" w:cs="Times New Roman"/>
                <w:b/>
                <w:bCs/>
                <w:sz w:val="21"/>
                <w:szCs w:val="21"/>
              </w:rPr>
            </w:pPr>
            <w:r>
              <w:rPr>
                <w:rFonts w:ascii="Times New Roman" w:hAnsi="Times New Roman" w:cs="Times New Roman"/>
                <w:b/>
                <w:bCs/>
                <w:sz w:val="21"/>
                <w:szCs w:val="21"/>
              </w:rPr>
              <w:t>声环境</w:t>
            </w:r>
          </w:p>
        </w:tc>
        <w:tc>
          <w:tcPr>
            <w:tcW w:w="1755" w:type="dxa"/>
            <w:gridSpan w:val="2"/>
            <w:tcBorders>
              <w:top w:val="single" w:color="000000" w:sz="4" w:space="0"/>
              <w:left w:val="single" w:color="000000" w:sz="4" w:space="0"/>
              <w:bottom w:val="single" w:color="000000" w:sz="4" w:space="0"/>
              <w:right w:val="single" w:color="000000" w:sz="4" w:space="0"/>
            </w:tcBorders>
            <w:vAlign w:val="center"/>
          </w:tcPr>
          <w:p>
            <w:pPr>
              <w:pStyle w:val="23"/>
              <w:spacing w:line="240" w:lineRule="auto"/>
              <w:rPr>
                <w:rFonts w:ascii="Times New Roman" w:hAnsi="Times New Roman" w:cs="Times New Roman"/>
                <w:sz w:val="21"/>
                <w:szCs w:val="21"/>
              </w:rPr>
            </w:pPr>
            <w:r>
              <w:rPr>
                <w:rFonts w:hint="eastAsia" w:ascii="Times New Roman" w:hAnsi="Times New Roman" w:cs="Times New Roman"/>
                <w:sz w:val="21"/>
                <w:szCs w:val="21"/>
              </w:rPr>
              <w:t>生产设备</w:t>
            </w:r>
          </w:p>
        </w:tc>
        <w:tc>
          <w:tcPr>
            <w:tcW w:w="1434" w:type="dxa"/>
            <w:tcBorders>
              <w:top w:val="single" w:color="000000" w:sz="4" w:space="0"/>
              <w:left w:val="single" w:color="000000" w:sz="4" w:space="0"/>
              <w:bottom w:val="single" w:color="000000" w:sz="4" w:space="0"/>
              <w:right w:val="single" w:color="000000" w:sz="4" w:space="0"/>
            </w:tcBorders>
            <w:vAlign w:val="center"/>
          </w:tcPr>
          <w:p>
            <w:pPr>
              <w:spacing w:line="240" w:lineRule="exact"/>
              <w:rPr>
                <w:sz w:val="21"/>
                <w:szCs w:val="21"/>
                <w:lang w:val="en-US"/>
              </w:rPr>
            </w:pPr>
            <w:r>
              <w:rPr>
                <w:sz w:val="21"/>
                <w:szCs w:val="21"/>
              </w:rPr>
              <w:t>噪声</w:t>
            </w:r>
          </w:p>
        </w:tc>
        <w:tc>
          <w:tcPr>
            <w:tcW w:w="2077" w:type="dxa"/>
            <w:tcBorders>
              <w:top w:val="single" w:color="000000" w:sz="4" w:space="0"/>
              <w:left w:val="single" w:color="000000" w:sz="4" w:space="0"/>
              <w:bottom w:val="single" w:color="000000" w:sz="4" w:space="0"/>
              <w:right w:val="single" w:color="000000" w:sz="4" w:space="0"/>
            </w:tcBorders>
            <w:vAlign w:val="center"/>
          </w:tcPr>
          <w:p>
            <w:pPr>
              <w:spacing w:line="280" w:lineRule="exact"/>
              <w:rPr>
                <w:rFonts w:cs="Times New Roman"/>
                <w:kern w:val="24"/>
                <w:sz w:val="21"/>
                <w:szCs w:val="21"/>
              </w:rPr>
            </w:pPr>
            <w:r>
              <w:rPr>
                <w:rFonts w:hint="eastAsia"/>
                <w:sz w:val="21"/>
                <w:szCs w:val="21"/>
              </w:rPr>
              <w:t>选用低噪声设备，</w:t>
            </w:r>
            <w:r>
              <w:rPr>
                <w:sz w:val="21"/>
                <w:szCs w:val="21"/>
              </w:rPr>
              <w:t>设备基础减振</w:t>
            </w:r>
            <w:r>
              <w:rPr>
                <w:rFonts w:hint="eastAsia"/>
                <w:sz w:val="21"/>
                <w:szCs w:val="21"/>
              </w:rPr>
              <w:t>，</w:t>
            </w:r>
            <w:r>
              <w:rPr>
                <w:rFonts w:hint="eastAsia" w:cs="Times New Roman"/>
                <w:spacing w:val="10"/>
                <w:sz w:val="21"/>
                <w:szCs w:val="21"/>
              </w:rPr>
              <w:t>厂房封闭</w:t>
            </w:r>
            <w:r>
              <w:rPr>
                <w:rFonts w:cs="Times New Roman"/>
                <w:spacing w:val="10"/>
                <w:sz w:val="21"/>
                <w:szCs w:val="21"/>
              </w:rPr>
              <w:t>隔音</w:t>
            </w:r>
            <w:r>
              <w:rPr>
                <w:rFonts w:hint="eastAsia" w:cs="Times New Roman"/>
                <w:spacing w:val="10"/>
                <w:sz w:val="21"/>
                <w:szCs w:val="21"/>
              </w:rPr>
              <w:t>；加强管理</w:t>
            </w:r>
          </w:p>
        </w:tc>
        <w:tc>
          <w:tcPr>
            <w:tcW w:w="1758" w:type="dxa"/>
            <w:vMerge w:val="restart"/>
            <w:tcBorders>
              <w:top w:val="single" w:color="000000" w:sz="4" w:space="0"/>
              <w:left w:val="single" w:color="000000" w:sz="4" w:space="0"/>
            </w:tcBorders>
            <w:vAlign w:val="center"/>
          </w:tcPr>
          <w:p>
            <w:pPr>
              <w:pStyle w:val="2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《工业企业厂界环境噪声排放标准》（GB12348-2008）执行</w:t>
            </w:r>
            <w:r>
              <w:rPr>
                <w:rFonts w:hint="default" w:ascii="Times New Roman" w:hAnsi="Times New Roman" w:cs="Times New Roman"/>
                <w:sz w:val="21"/>
                <w:szCs w:val="21"/>
                <w:lang w:val="en-US"/>
              </w:rPr>
              <w:t>2</w:t>
            </w:r>
            <w:r>
              <w:rPr>
                <w:rFonts w:hint="default" w:ascii="Times New Roman" w:hAnsi="Times New Roman" w:cs="Times New Roman"/>
                <w:sz w:val="21"/>
                <w:szCs w:val="21"/>
              </w:rPr>
              <w:t>类标准：昼间</w:t>
            </w:r>
            <w:r>
              <w:rPr>
                <w:rFonts w:hint="default" w:ascii="Times New Roman" w:hAnsi="Times New Roman" w:cs="Times New Roman"/>
                <w:sz w:val="21"/>
                <w:szCs w:val="21"/>
                <w:lang w:val="en-US"/>
              </w:rPr>
              <w:t>60</w:t>
            </w:r>
            <w:r>
              <w:rPr>
                <w:rFonts w:hint="default" w:ascii="Times New Roman" w:hAnsi="Times New Roman" w:cs="Times New Roman"/>
                <w:sz w:val="21"/>
                <w:szCs w:val="21"/>
              </w:rPr>
              <w:t>dB（A）、夜间5</w:t>
            </w:r>
            <w:r>
              <w:rPr>
                <w:rFonts w:hint="default" w:ascii="Times New Roman" w:hAnsi="Times New Roman" w:cs="Times New Roman"/>
                <w:sz w:val="21"/>
                <w:szCs w:val="21"/>
                <w:lang w:val="en-US"/>
              </w:rPr>
              <w:t>0</w:t>
            </w:r>
            <w:r>
              <w:rPr>
                <w:rFonts w:hint="default" w:ascii="Times New Roman" w:hAnsi="Times New Roman" w:cs="Times New Roman"/>
                <w:sz w:val="21"/>
                <w:szCs w:val="21"/>
              </w:rPr>
              <w:t>dB（A）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778" w:type="dxa"/>
            <w:vMerge w:val="continue"/>
            <w:tcBorders>
              <w:bottom w:val="single" w:color="000000" w:sz="4" w:space="0"/>
              <w:right w:val="single" w:color="000000" w:sz="4" w:space="0"/>
            </w:tcBorders>
            <w:vAlign w:val="center"/>
          </w:tcPr>
          <w:p>
            <w:pPr>
              <w:pStyle w:val="23"/>
              <w:spacing w:line="240" w:lineRule="auto"/>
              <w:rPr>
                <w:rFonts w:ascii="Times New Roman" w:hAnsi="Times New Roman" w:cs="Times New Roman"/>
                <w:b/>
                <w:bCs/>
                <w:sz w:val="21"/>
                <w:szCs w:val="21"/>
              </w:rPr>
            </w:pPr>
          </w:p>
        </w:tc>
        <w:tc>
          <w:tcPr>
            <w:tcW w:w="1755"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sz w:val="21"/>
                <w:szCs w:val="21"/>
                <w:lang w:val="zh-CN" w:eastAsia="zh-CN" w:bidi="zh-CN"/>
              </w:rPr>
            </w:pPr>
            <w:r>
              <w:rPr>
                <w:rFonts w:hint="eastAsia" w:ascii="Times New Roman" w:hAnsi="Times New Roman" w:eastAsia="宋体" w:cs="Times New Roman"/>
                <w:sz w:val="21"/>
                <w:szCs w:val="21"/>
                <w:lang w:eastAsia="zh-CN"/>
              </w:rPr>
              <w:t>车辆运输</w:t>
            </w:r>
          </w:p>
        </w:tc>
        <w:tc>
          <w:tcPr>
            <w:tcW w:w="14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宋体"/>
                <w:sz w:val="21"/>
                <w:szCs w:val="21"/>
                <w:lang w:val="en-US" w:eastAsia="zh-CN" w:bidi="zh-CN"/>
              </w:rPr>
            </w:pPr>
            <w:r>
              <w:rPr>
                <w:sz w:val="21"/>
                <w:szCs w:val="21"/>
              </w:rPr>
              <w:t>噪声</w:t>
            </w:r>
          </w:p>
        </w:tc>
        <w:tc>
          <w:tcPr>
            <w:tcW w:w="20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napToGrid/>
              <w:spacing w:line="280" w:lineRule="exact"/>
              <w:ind w:left="0" w:leftChars="0" w:right="0" w:rightChars="0" w:firstLine="0" w:firstLineChars="0"/>
              <w:jc w:val="center"/>
              <w:textAlignment w:val="auto"/>
              <w:rPr>
                <w:rFonts w:hint="eastAsia" w:ascii="Times New Roman" w:hAnsi="Times New Roman" w:eastAsia="宋体" w:cs="Times New Roman"/>
                <w:color w:val="auto"/>
                <w:kern w:val="24"/>
                <w:sz w:val="21"/>
                <w:szCs w:val="21"/>
                <w:lang w:val="zh-CN" w:eastAsia="zh-CN" w:bidi="zh-CN"/>
              </w:rPr>
            </w:pPr>
            <w:r>
              <w:rPr>
                <w:rFonts w:hint="eastAsia"/>
                <w:sz w:val="21"/>
                <w:szCs w:val="21"/>
                <w:lang w:eastAsia="zh-CN"/>
              </w:rPr>
              <w:t>合理安排时间，</w:t>
            </w:r>
            <w:r>
              <w:rPr>
                <w:sz w:val="21"/>
                <w:szCs w:val="21"/>
              </w:rPr>
              <w:t>加强管理，运输车辆减速、禁鸣等措施</w:t>
            </w:r>
            <w:r>
              <w:rPr>
                <w:rFonts w:hint="eastAsia"/>
                <w:sz w:val="21"/>
                <w:szCs w:val="21"/>
                <w:lang w:eastAsia="zh-CN"/>
              </w:rPr>
              <w:t>。</w:t>
            </w:r>
          </w:p>
        </w:tc>
        <w:tc>
          <w:tcPr>
            <w:tcW w:w="1758" w:type="dxa"/>
            <w:vMerge w:val="continue"/>
            <w:tcBorders>
              <w:left w:val="single" w:color="000000" w:sz="4" w:space="0"/>
              <w:bottom w:val="single" w:color="000000" w:sz="4" w:space="0"/>
            </w:tcBorders>
            <w:vAlign w:val="center"/>
          </w:tcPr>
          <w:p>
            <w:pPr>
              <w:pStyle w:val="23"/>
              <w:spacing w:line="240" w:lineRule="auto"/>
              <w:rPr>
                <w:rFonts w:hint="default" w:ascii="Times New Roman" w:hAnsi="Times New Roman"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778" w:type="dxa"/>
            <w:vMerge w:val="restart"/>
            <w:tcBorders>
              <w:right w:val="single" w:color="000000" w:sz="4" w:space="0"/>
            </w:tcBorders>
            <w:vAlign w:val="center"/>
          </w:tcPr>
          <w:p>
            <w:pPr>
              <w:pStyle w:val="23"/>
              <w:spacing w:line="240" w:lineRule="auto"/>
              <w:rPr>
                <w:rFonts w:ascii="Times New Roman" w:hAnsi="Times New Roman" w:cs="Times New Roman"/>
                <w:b/>
                <w:bCs/>
                <w:sz w:val="21"/>
                <w:szCs w:val="21"/>
              </w:rPr>
            </w:pPr>
            <w:r>
              <w:rPr>
                <w:rFonts w:hint="eastAsia" w:ascii="Times New Roman" w:hAnsi="Times New Roman" w:cs="Times New Roman"/>
                <w:b/>
                <w:bCs/>
                <w:sz w:val="21"/>
                <w:szCs w:val="21"/>
                <w:lang w:eastAsia="zh-CN"/>
              </w:rPr>
              <w:t>固体废物</w:t>
            </w:r>
          </w:p>
          <w:p>
            <w:pPr>
              <w:pStyle w:val="23"/>
              <w:spacing w:line="240" w:lineRule="auto"/>
              <w:rPr>
                <w:rFonts w:ascii="Times New Roman" w:hAnsi="Times New Roman" w:cs="Times New Roman"/>
                <w:b/>
                <w:bCs/>
                <w:sz w:val="21"/>
                <w:szCs w:val="21"/>
              </w:rPr>
            </w:pPr>
          </w:p>
        </w:tc>
        <w:tc>
          <w:tcPr>
            <w:tcW w:w="877" w:type="dxa"/>
            <w:vMerge w:val="restart"/>
            <w:tcBorders>
              <w:left w:val="single" w:color="000000" w:sz="4" w:space="0"/>
            </w:tcBorders>
            <w:vAlign w:val="center"/>
          </w:tcPr>
          <w:p>
            <w:pPr>
              <w:pStyle w:val="23"/>
              <w:spacing w:line="240" w:lineRule="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一般工业固体废物</w:t>
            </w:r>
          </w:p>
        </w:tc>
        <w:tc>
          <w:tcPr>
            <w:tcW w:w="878" w:type="dxa"/>
            <w:tcBorders>
              <w:top w:val="single" w:color="000000" w:sz="4" w:space="0"/>
              <w:left w:val="single" w:color="000000" w:sz="4" w:space="0"/>
              <w:bottom w:val="single" w:color="000000" w:sz="8" w:space="0"/>
            </w:tcBorders>
            <w:vAlign w:val="center"/>
          </w:tcPr>
          <w:p>
            <w:pPr>
              <w:adjustRightInd w:val="0"/>
              <w:spacing w:line="240" w:lineRule="exact"/>
              <w:rPr>
                <w:rFonts w:hint="eastAsia" w:eastAsia="宋体" w:cs="Times New Roman"/>
                <w:kern w:val="24"/>
                <w:sz w:val="21"/>
                <w:szCs w:val="21"/>
                <w:lang w:eastAsia="zh-CN"/>
              </w:rPr>
            </w:pPr>
            <w:r>
              <w:rPr>
                <w:rFonts w:hint="eastAsia" w:cs="Times New Roman"/>
                <w:kern w:val="24"/>
                <w:sz w:val="21"/>
                <w:szCs w:val="21"/>
                <w:lang w:eastAsia="zh-CN"/>
              </w:rPr>
              <w:t>生活垃圾</w:t>
            </w:r>
          </w:p>
        </w:tc>
        <w:tc>
          <w:tcPr>
            <w:tcW w:w="1434" w:type="dxa"/>
            <w:tcBorders>
              <w:top w:val="single" w:color="000000" w:sz="4" w:space="0"/>
              <w:left w:val="single" w:color="000000" w:sz="4" w:space="0"/>
              <w:bottom w:val="single" w:color="000000" w:sz="8" w:space="0"/>
            </w:tcBorders>
            <w:vAlign w:val="center"/>
          </w:tcPr>
          <w:p>
            <w:pPr>
              <w:adjustRightInd w:val="0"/>
              <w:spacing w:line="240" w:lineRule="exact"/>
              <w:rPr>
                <w:rFonts w:hint="eastAsia" w:eastAsia="宋体" w:cs="Times New Roman"/>
                <w:sz w:val="21"/>
                <w:szCs w:val="21"/>
                <w:lang w:eastAsia="zh-CN"/>
              </w:rPr>
            </w:pPr>
            <w:r>
              <w:rPr>
                <w:rFonts w:hint="eastAsia" w:cs="Times New Roman"/>
                <w:sz w:val="21"/>
                <w:szCs w:val="21"/>
                <w:lang w:eastAsia="zh-CN"/>
              </w:rPr>
              <w:t>职工生活垃圾</w:t>
            </w:r>
          </w:p>
        </w:tc>
        <w:tc>
          <w:tcPr>
            <w:tcW w:w="2077" w:type="dxa"/>
            <w:tcBorders>
              <w:top w:val="single" w:color="000000" w:sz="4" w:space="0"/>
              <w:left w:val="single" w:color="000000" w:sz="4" w:space="0"/>
              <w:bottom w:val="single" w:color="000000" w:sz="8" w:space="0"/>
            </w:tcBorders>
            <w:vAlign w:val="center"/>
          </w:tcPr>
          <w:p>
            <w:pPr>
              <w:pStyle w:val="23"/>
              <w:spacing w:line="240" w:lineRule="auto"/>
              <w:rPr>
                <w:rFonts w:hint="eastAsia" w:cs="Times New Roman"/>
                <w:color w:val="auto"/>
                <w:sz w:val="21"/>
                <w:szCs w:val="21"/>
                <w:lang w:eastAsia="zh-CN"/>
              </w:rPr>
            </w:pPr>
            <w:r>
              <w:rPr>
                <w:rFonts w:hint="eastAsia" w:cs="Times New Roman"/>
                <w:color w:val="auto"/>
                <w:sz w:val="21"/>
                <w:szCs w:val="21"/>
                <w:highlight w:val="none"/>
                <w:lang w:eastAsia="zh-CN"/>
              </w:rPr>
              <w:t>生活垃圾集中收集，送往村统一地点处理</w:t>
            </w:r>
          </w:p>
        </w:tc>
        <w:tc>
          <w:tcPr>
            <w:tcW w:w="1758" w:type="dxa"/>
            <w:vMerge w:val="restart"/>
            <w:tcBorders>
              <w:left w:val="single" w:color="000000" w:sz="4" w:space="0"/>
            </w:tcBorders>
            <w:vAlign w:val="center"/>
          </w:tcPr>
          <w:p>
            <w:pPr>
              <w:pStyle w:val="23"/>
              <w:spacing w:line="240" w:lineRule="auto"/>
              <w:rPr>
                <w:rFonts w:ascii="Times New Roman" w:hAnsi="Times New Roman" w:cs="Times New Roman"/>
                <w:sz w:val="21"/>
                <w:szCs w:val="21"/>
              </w:rPr>
            </w:pPr>
            <w:r>
              <w:rPr>
                <w:rFonts w:hint="default" w:ascii="Times New Roman" w:hAnsi="Times New Roman" w:eastAsia="宋体" w:cs="Times New Roman"/>
                <w:sz w:val="21"/>
                <w:szCs w:val="21"/>
                <w:lang w:eastAsia="zh-CN"/>
              </w:rPr>
              <w:t>《一般工业固体废物贮存</w:t>
            </w:r>
            <w:r>
              <w:rPr>
                <w:rFonts w:hint="eastAsia" w:ascii="Times New Roman" w:hAnsi="Times New Roman" w:cs="Times New Roman"/>
                <w:sz w:val="21"/>
                <w:szCs w:val="21"/>
                <w:lang w:eastAsia="zh-CN"/>
              </w:rPr>
              <w:t>和填埋</w:t>
            </w:r>
            <w:r>
              <w:rPr>
                <w:rFonts w:hint="default" w:ascii="Times New Roman" w:hAnsi="Times New Roman" w:eastAsia="宋体" w:cs="Times New Roman"/>
                <w:sz w:val="21"/>
                <w:szCs w:val="21"/>
                <w:lang w:eastAsia="zh-CN"/>
              </w:rPr>
              <w:t>污染控制标准》（GB</w:t>
            </w:r>
            <w:r>
              <w:rPr>
                <w:rFonts w:hint="eastAsia" w:ascii="Times New Roman" w:hAnsi="Times New Roman" w:cs="Times New Roman"/>
                <w:sz w:val="21"/>
                <w:szCs w:val="21"/>
                <w:lang w:val="en-US" w:eastAsia="zh-CN"/>
              </w:rPr>
              <w:t>18599</w:t>
            </w:r>
            <w:r>
              <w:rPr>
                <w:rFonts w:hint="default" w:ascii="Times New Roman" w:hAnsi="Times New Roman" w:eastAsia="宋体" w:cs="Times New Roman"/>
                <w:sz w:val="21"/>
                <w:szCs w:val="21"/>
                <w:lang w:eastAsia="zh-CN"/>
              </w:rPr>
              <w:t>-20</w:t>
            </w:r>
            <w:r>
              <w:rPr>
                <w:rFonts w:hint="eastAsia" w:ascii="Times New Roman" w:hAnsi="Times New Roman" w:cs="Times New Roman"/>
                <w:sz w:val="21"/>
                <w:szCs w:val="21"/>
                <w:lang w:val="en-US" w:eastAsia="zh-CN"/>
              </w:rPr>
              <w:t>20</w:t>
            </w:r>
            <w:r>
              <w:rPr>
                <w:rFonts w:hint="default" w:ascii="Times New Roman" w:hAnsi="Times New Roman" w:eastAsia="宋体" w:cs="Times New Roman"/>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778" w:type="dxa"/>
            <w:vMerge w:val="continue"/>
            <w:tcBorders>
              <w:right w:val="single" w:color="000000" w:sz="4" w:space="0"/>
            </w:tcBorders>
            <w:vAlign w:val="center"/>
          </w:tcPr>
          <w:p>
            <w:pPr>
              <w:pStyle w:val="23"/>
              <w:spacing w:line="240" w:lineRule="auto"/>
              <w:rPr>
                <w:rFonts w:ascii="Times New Roman" w:hAnsi="Times New Roman" w:cs="Times New Roman"/>
                <w:b/>
                <w:bCs/>
                <w:sz w:val="21"/>
                <w:szCs w:val="21"/>
              </w:rPr>
            </w:pPr>
          </w:p>
        </w:tc>
        <w:tc>
          <w:tcPr>
            <w:tcW w:w="877" w:type="dxa"/>
            <w:vMerge w:val="continue"/>
            <w:tcBorders>
              <w:left w:val="single" w:color="000000" w:sz="4" w:space="0"/>
            </w:tcBorders>
            <w:vAlign w:val="center"/>
          </w:tcPr>
          <w:p>
            <w:pPr>
              <w:pStyle w:val="23"/>
              <w:spacing w:line="240" w:lineRule="auto"/>
              <w:rPr>
                <w:rFonts w:hint="eastAsia" w:ascii="Times New Roman" w:hAnsi="Times New Roman" w:cs="Times New Roman"/>
                <w:sz w:val="21"/>
                <w:szCs w:val="21"/>
              </w:rPr>
            </w:pPr>
          </w:p>
        </w:tc>
        <w:tc>
          <w:tcPr>
            <w:tcW w:w="878" w:type="dxa"/>
            <w:tcBorders>
              <w:top w:val="single" w:color="000000" w:sz="4" w:space="0"/>
              <w:left w:val="single" w:color="000000" w:sz="4" w:space="0"/>
              <w:bottom w:val="single" w:color="000000" w:sz="8" w:space="0"/>
            </w:tcBorders>
            <w:vAlign w:val="center"/>
          </w:tcPr>
          <w:p>
            <w:pPr>
              <w:adjustRightInd w:val="0"/>
              <w:spacing w:line="240" w:lineRule="exact"/>
              <w:rPr>
                <w:rFonts w:hint="eastAsia" w:eastAsia="宋体" w:cs="Times New Roman"/>
                <w:kern w:val="24"/>
                <w:sz w:val="21"/>
                <w:szCs w:val="21"/>
                <w:lang w:eastAsia="zh-CN"/>
              </w:rPr>
            </w:pPr>
            <w:r>
              <w:rPr>
                <w:rFonts w:hint="eastAsia" w:cs="Times New Roman"/>
                <w:kern w:val="24"/>
                <w:sz w:val="21"/>
                <w:szCs w:val="21"/>
                <w:lang w:eastAsia="zh-CN"/>
              </w:rPr>
              <w:t>布袋除尘器</w:t>
            </w:r>
          </w:p>
        </w:tc>
        <w:tc>
          <w:tcPr>
            <w:tcW w:w="1434" w:type="dxa"/>
            <w:tcBorders>
              <w:top w:val="single" w:color="000000" w:sz="4" w:space="0"/>
              <w:left w:val="single" w:color="000000" w:sz="4" w:space="0"/>
              <w:bottom w:val="single" w:color="000000" w:sz="8" w:space="0"/>
            </w:tcBorders>
            <w:vAlign w:val="center"/>
          </w:tcPr>
          <w:p>
            <w:pPr>
              <w:adjustRightInd w:val="0"/>
              <w:spacing w:line="240" w:lineRule="exact"/>
              <w:rPr>
                <w:rFonts w:hint="eastAsia" w:eastAsia="宋体" w:cs="Times New Roman"/>
                <w:sz w:val="21"/>
                <w:szCs w:val="21"/>
                <w:lang w:eastAsia="zh-CN"/>
              </w:rPr>
            </w:pPr>
            <w:r>
              <w:rPr>
                <w:rFonts w:hint="eastAsia" w:cs="Times New Roman"/>
                <w:sz w:val="21"/>
                <w:szCs w:val="21"/>
                <w:lang w:eastAsia="zh-CN"/>
              </w:rPr>
              <w:t>除尘灰</w:t>
            </w:r>
          </w:p>
        </w:tc>
        <w:tc>
          <w:tcPr>
            <w:tcW w:w="2077" w:type="dxa"/>
            <w:tcBorders>
              <w:top w:val="single" w:color="000000" w:sz="4" w:space="0"/>
              <w:left w:val="single" w:color="000000" w:sz="4" w:space="0"/>
              <w:bottom w:val="single" w:color="000000" w:sz="8" w:space="0"/>
            </w:tcBorders>
            <w:vAlign w:val="center"/>
          </w:tcPr>
          <w:p>
            <w:pPr>
              <w:pStyle w:val="23"/>
              <w:spacing w:line="240" w:lineRule="auto"/>
              <w:rPr>
                <w:rFonts w:hint="eastAsia" w:cs="Times New Roman"/>
                <w:color w:val="auto"/>
                <w:sz w:val="21"/>
                <w:szCs w:val="21"/>
                <w:lang w:eastAsia="zh-CN"/>
              </w:rPr>
            </w:pPr>
            <w:r>
              <w:rPr>
                <w:rFonts w:hint="eastAsia" w:cs="Times New Roman"/>
                <w:color w:val="auto"/>
                <w:sz w:val="21"/>
                <w:szCs w:val="21"/>
                <w:lang w:eastAsia="zh-CN"/>
              </w:rPr>
              <w:t>集中收</w:t>
            </w:r>
            <w:r>
              <w:rPr>
                <w:rFonts w:hint="eastAsia" w:cs="Times New Roman"/>
                <w:color w:val="auto"/>
                <w:sz w:val="21"/>
                <w:szCs w:val="21"/>
                <w:highlight w:val="none"/>
                <w:lang w:eastAsia="zh-CN"/>
              </w:rPr>
              <w:t>集用于修建高速公路</w:t>
            </w:r>
          </w:p>
        </w:tc>
        <w:tc>
          <w:tcPr>
            <w:tcW w:w="1758" w:type="dxa"/>
            <w:vMerge w:val="continue"/>
            <w:tcBorders>
              <w:left w:val="single" w:color="000000" w:sz="4" w:space="0"/>
            </w:tcBorders>
            <w:vAlign w:val="center"/>
          </w:tcPr>
          <w:p>
            <w:pPr>
              <w:pStyle w:val="23"/>
              <w:spacing w:line="240" w:lineRule="auto"/>
              <w:rPr>
                <w:rFonts w:ascii="Times New Roman" w:hAnsi="Times New Roman"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778" w:type="dxa"/>
            <w:vMerge w:val="continue"/>
            <w:tcBorders>
              <w:right w:val="single" w:color="000000" w:sz="4" w:space="0"/>
            </w:tcBorders>
            <w:vAlign w:val="center"/>
          </w:tcPr>
          <w:p>
            <w:pPr>
              <w:pStyle w:val="23"/>
              <w:spacing w:line="240" w:lineRule="auto"/>
              <w:rPr>
                <w:rFonts w:ascii="Times New Roman" w:hAnsi="Times New Roman" w:cs="Times New Roman"/>
                <w:b/>
                <w:bCs/>
                <w:sz w:val="21"/>
                <w:szCs w:val="21"/>
              </w:rPr>
            </w:pPr>
          </w:p>
        </w:tc>
        <w:tc>
          <w:tcPr>
            <w:tcW w:w="877" w:type="dxa"/>
            <w:vMerge w:val="continue"/>
            <w:tcBorders>
              <w:left w:val="single" w:color="000000" w:sz="4" w:space="0"/>
            </w:tcBorders>
            <w:vAlign w:val="center"/>
          </w:tcPr>
          <w:p>
            <w:pPr>
              <w:pStyle w:val="23"/>
              <w:spacing w:line="240" w:lineRule="auto"/>
              <w:rPr>
                <w:rFonts w:hint="eastAsia" w:ascii="Times New Roman" w:hAnsi="Times New Roman" w:cs="Times New Roman"/>
                <w:sz w:val="21"/>
                <w:szCs w:val="21"/>
              </w:rPr>
            </w:pPr>
          </w:p>
        </w:tc>
        <w:tc>
          <w:tcPr>
            <w:tcW w:w="878" w:type="dxa"/>
            <w:tcBorders>
              <w:top w:val="single" w:color="000000" w:sz="4" w:space="0"/>
              <w:left w:val="single" w:color="000000" w:sz="4" w:space="0"/>
              <w:bottom w:val="single" w:color="000000" w:sz="8" w:space="0"/>
            </w:tcBorders>
            <w:vAlign w:val="center"/>
          </w:tcPr>
          <w:p>
            <w:pPr>
              <w:adjustRightInd w:val="0"/>
              <w:spacing w:line="240" w:lineRule="exact"/>
              <w:rPr>
                <w:rFonts w:hint="eastAsia" w:cs="Times New Roman"/>
                <w:kern w:val="24"/>
                <w:sz w:val="21"/>
                <w:szCs w:val="21"/>
                <w:lang w:eastAsia="zh-CN"/>
              </w:rPr>
            </w:pPr>
            <w:r>
              <w:rPr>
                <w:rFonts w:hint="eastAsia" w:cs="Times New Roman"/>
                <w:kern w:val="24"/>
                <w:sz w:val="21"/>
                <w:szCs w:val="21"/>
                <w:lang w:eastAsia="zh-CN"/>
              </w:rPr>
              <w:t>沉淀池</w:t>
            </w:r>
          </w:p>
        </w:tc>
        <w:tc>
          <w:tcPr>
            <w:tcW w:w="1434" w:type="dxa"/>
            <w:tcBorders>
              <w:top w:val="single" w:color="000000" w:sz="4" w:space="0"/>
              <w:left w:val="single" w:color="000000" w:sz="4" w:space="0"/>
              <w:bottom w:val="single" w:color="000000" w:sz="8" w:space="0"/>
            </w:tcBorders>
            <w:vAlign w:val="center"/>
          </w:tcPr>
          <w:p>
            <w:pPr>
              <w:adjustRightInd w:val="0"/>
              <w:spacing w:line="240" w:lineRule="exact"/>
              <w:rPr>
                <w:rFonts w:hint="eastAsia" w:cs="Times New Roman"/>
                <w:sz w:val="21"/>
                <w:szCs w:val="21"/>
                <w:lang w:eastAsia="zh-CN"/>
              </w:rPr>
            </w:pPr>
            <w:r>
              <w:rPr>
                <w:rFonts w:hint="eastAsia" w:cs="Times New Roman"/>
                <w:kern w:val="24"/>
                <w:sz w:val="21"/>
                <w:szCs w:val="21"/>
                <w:lang w:eastAsia="zh-CN"/>
              </w:rPr>
              <w:t>泥砂</w:t>
            </w:r>
          </w:p>
        </w:tc>
        <w:tc>
          <w:tcPr>
            <w:tcW w:w="2077" w:type="dxa"/>
            <w:tcBorders>
              <w:top w:val="single" w:color="000000" w:sz="4" w:space="0"/>
              <w:left w:val="single" w:color="000000" w:sz="4" w:space="0"/>
              <w:bottom w:val="single" w:color="000000" w:sz="8" w:space="0"/>
            </w:tcBorders>
            <w:vAlign w:val="center"/>
          </w:tcPr>
          <w:p>
            <w:pPr>
              <w:pStyle w:val="23"/>
              <w:spacing w:line="240" w:lineRule="auto"/>
              <w:rPr>
                <w:rFonts w:hint="eastAsia" w:cs="Times New Roman"/>
                <w:color w:val="auto"/>
                <w:sz w:val="21"/>
                <w:szCs w:val="21"/>
                <w:lang w:eastAsia="zh-CN"/>
              </w:rPr>
            </w:pPr>
            <w:r>
              <w:rPr>
                <w:rFonts w:hint="eastAsia" w:cs="Times New Roman"/>
                <w:color w:val="auto"/>
                <w:sz w:val="21"/>
                <w:szCs w:val="21"/>
                <w:lang w:eastAsia="zh-CN"/>
              </w:rPr>
              <w:t>集中收</w:t>
            </w:r>
            <w:r>
              <w:rPr>
                <w:rFonts w:hint="eastAsia" w:cs="Times New Roman"/>
                <w:color w:val="auto"/>
                <w:sz w:val="21"/>
                <w:szCs w:val="21"/>
                <w:highlight w:val="none"/>
                <w:lang w:eastAsia="zh-CN"/>
              </w:rPr>
              <w:t>集用于修建高速公路</w:t>
            </w:r>
          </w:p>
        </w:tc>
        <w:tc>
          <w:tcPr>
            <w:tcW w:w="1758" w:type="dxa"/>
            <w:vMerge w:val="continue"/>
            <w:tcBorders>
              <w:left w:val="single" w:color="000000" w:sz="4" w:space="0"/>
            </w:tcBorders>
            <w:vAlign w:val="center"/>
          </w:tcPr>
          <w:p>
            <w:pPr>
              <w:pStyle w:val="23"/>
              <w:spacing w:line="240" w:lineRule="auto"/>
              <w:rPr>
                <w:rFonts w:ascii="Times New Roman" w:hAnsi="Times New Roman"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778" w:type="dxa"/>
            <w:vMerge w:val="continue"/>
            <w:tcBorders>
              <w:right w:val="single" w:color="000000" w:sz="4" w:space="0"/>
            </w:tcBorders>
            <w:vAlign w:val="center"/>
          </w:tcPr>
          <w:p>
            <w:pPr>
              <w:pStyle w:val="23"/>
              <w:spacing w:line="240" w:lineRule="auto"/>
              <w:rPr>
                <w:rFonts w:ascii="Times New Roman" w:hAnsi="Times New Roman" w:cs="Times New Roman"/>
                <w:b/>
                <w:bCs/>
                <w:sz w:val="21"/>
                <w:szCs w:val="21"/>
              </w:rPr>
            </w:pPr>
          </w:p>
        </w:tc>
        <w:tc>
          <w:tcPr>
            <w:tcW w:w="877" w:type="dxa"/>
            <w:vMerge w:val="restart"/>
            <w:tcBorders>
              <w:top w:val="single" w:color="000000" w:sz="4" w:space="0"/>
              <w:left w:val="single" w:color="000000" w:sz="4" w:space="0"/>
            </w:tcBorders>
            <w:vAlign w:val="center"/>
          </w:tcPr>
          <w:p>
            <w:pPr>
              <w:pStyle w:val="23"/>
              <w:spacing w:line="240" w:lineRule="auto"/>
              <w:rPr>
                <w:rFonts w:ascii="Times New Roman" w:hAnsi="Times New Roman" w:cs="Times New Roman"/>
                <w:sz w:val="21"/>
                <w:szCs w:val="21"/>
              </w:rPr>
            </w:pPr>
            <w:r>
              <w:rPr>
                <w:rFonts w:hint="eastAsia" w:ascii="Times New Roman" w:hAnsi="Times New Roman" w:cs="Times New Roman"/>
                <w:sz w:val="21"/>
                <w:szCs w:val="21"/>
              </w:rPr>
              <w:t>危险废物</w:t>
            </w:r>
          </w:p>
        </w:tc>
        <w:tc>
          <w:tcPr>
            <w:tcW w:w="878" w:type="dxa"/>
            <w:vMerge w:val="restart"/>
            <w:tcBorders>
              <w:top w:val="single" w:color="000000" w:sz="4" w:space="0"/>
              <w:left w:val="single" w:color="000000" w:sz="4" w:space="0"/>
            </w:tcBorders>
            <w:vAlign w:val="center"/>
          </w:tcPr>
          <w:p>
            <w:pPr>
              <w:adjustRightInd w:val="0"/>
              <w:spacing w:line="240" w:lineRule="auto"/>
              <w:rPr>
                <w:rFonts w:cs="Times New Roman"/>
                <w:sz w:val="21"/>
                <w:szCs w:val="21"/>
              </w:rPr>
            </w:pPr>
            <w:r>
              <w:rPr>
                <w:rFonts w:hint="eastAsia" w:cs="Times New Roman"/>
                <w:sz w:val="21"/>
                <w:szCs w:val="21"/>
              </w:rPr>
              <w:t>设备检修</w:t>
            </w:r>
          </w:p>
        </w:tc>
        <w:tc>
          <w:tcPr>
            <w:tcW w:w="1434" w:type="dxa"/>
            <w:tcBorders>
              <w:top w:val="single" w:color="000000" w:sz="4" w:space="0"/>
              <w:left w:val="single" w:color="000000" w:sz="4" w:space="0"/>
              <w:bottom w:val="single" w:color="000000" w:sz="8" w:space="0"/>
            </w:tcBorders>
            <w:vAlign w:val="center"/>
          </w:tcPr>
          <w:p>
            <w:pPr>
              <w:adjustRightInd w:val="0"/>
              <w:spacing w:line="240" w:lineRule="auto"/>
              <w:rPr>
                <w:rFonts w:cs="Times New Roman"/>
                <w:sz w:val="21"/>
                <w:szCs w:val="21"/>
              </w:rPr>
            </w:pPr>
            <w:r>
              <w:rPr>
                <w:rFonts w:cs="Times New Roman"/>
                <w:sz w:val="21"/>
                <w:szCs w:val="21"/>
              </w:rPr>
              <w:t>废润滑油</w:t>
            </w:r>
          </w:p>
        </w:tc>
        <w:tc>
          <w:tcPr>
            <w:tcW w:w="2077" w:type="dxa"/>
            <w:vMerge w:val="restart"/>
            <w:tcBorders>
              <w:top w:val="single" w:color="000000" w:sz="4" w:space="0"/>
              <w:left w:val="single" w:color="000000" w:sz="4" w:space="0"/>
            </w:tcBorders>
            <w:vAlign w:val="center"/>
          </w:tcPr>
          <w:p>
            <w:pPr>
              <w:pStyle w:val="23"/>
              <w:spacing w:line="240" w:lineRule="auto"/>
              <w:rPr>
                <w:rFonts w:ascii="Times New Roman" w:hAnsi="Times New Roman" w:cs="Times New Roman"/>
                <w:sz w:val="21"/>
                <w:szCs w:val="21"/>
              </w:rPr>
            </w:pPr>
            <w:r>
              <w:rPr>
                <w:rFonts w:hint="eastAsia" w:cs="Times New Roman"/>
                <w:sz w:val="21"/>
                <w:szCs w:val="21"/>
              </w:rPr>
              <w:t>暂存于</w:t>
            </w:r>
            <w:r>
              <w:rPr>
                <w:rFonts w:hint="eastAsia" w:ascii="Times New Roman" w:hAnsi="Times New Roman" w:cs="Times New Roman"/>
                <w:sz w:val="21"/>
                <w:szCs w:val="21"/>
              </w:rPr>
              <w:t>危险废物贮存</w:t>
            </w:r>
            <w:r>
              <w:rPr>
                <w:rFonts w:hint="eastAsia" w:cs="Times New Roman"/>
                <w:sz w:val="21"/>
                <w:szCs w:val="21"/>
              </w:rPr>
              <w:t>间</w:t>
            </w:r>
            <w:r>
              <w:rPr>
                <w:rFonts w:hint="eastAsia" w:ascii="Times New Roman" w:hAnsi="Times New Roman" w:cs="Times New Roman"/>
                <w:sz w:val="21"/>
                <w:szCs w:val="21"/>
              </w:rPr>
              <w:t>，</w:t>
            </w:r>
            <w:r>
              <w:rPr>
                <w:rFonts w:hint="eastAsia" w:cs="Times New Roman"/>
                <w:sz w:val="21"/>
                <w:szCs w:val="21"/>
              </w:rPr>
              <w:t>委托有资质的单位处置</w:t>
            </w:r>
          </w:p>
        </w:tc>
        <w:tc>
          <w:tcPr>
            <w:tcW w:w="1758" w:type="dxa"/>
            <w:vMerge w:val="restart"/>
            <w:tcBorders>
              <w:top w:val="single" w:color="000000" w:sz="4" w:space="0"/>
              <w:left w:val="single" w:color="000000" w:sz="4" w:space="0"/>
            </w:tcBorders>
            <w:vAlign w:val="center"/>
          </w:tcPr>
          <w:p>
            <w:pPr>
              <w:pStyle w:val="23"/>
              <w:spacing w:line="240" w:lineRule="auto"/>
              <w:rPr>
                <w:rFonts w:ascii="Times New Roman" w:hAnsi="Times New Roman" w:cs="Times New Roman"/>
                <w:sz w:val="21"/>
                <w:szCs w:val="21"/>
              </w:rPr>
            </w:pPr>
            <w:r>
              <w:rPr>
                <w:rFonts w:ascii="Times New Roman" w:hAnsi="Times New Roman" w:cs="Times New Roman"/>
                <w:sz w:val="21"/>
                <w:szCs w:val="21"/>
              </w:rPr>
              <w:t>《危险废物贮存污染控制标准》（GB18597-2001）及其修改单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778" w:type="dxa"/>
            <w:vMerge w:val="continue"/>
            <w:tcBorders>
              <w:right w:val="single" w:color="000000" w:sz="4" w:space="0"/>
            </w:tcBorders>
            <w:vAlign w:val="center"/>
          </w:tcPr>
          <w:p>
            <w:pPr>
              <w:pStyle w:val="23"/>
              <w:spacing w:line="240" w:lineRule="auto"/>
              <w:rPr>
                <w:rFonts w:ascii="Times New Roman" w:hAnsi="Times New Roman" w:cs="Times New Roman"/>
                <w:b/>
                <w:bCs/>
                <w:sz w:val="21"/>
                <w:szCs w:val="21"/>
              </w:rPr>
            </w:pPr>
          </w:p>
        </w:tc>
        <w:tc>
          <w:tcPr>
            <w:tcW w:w="877" w:type="dxa"/>
            <w:vMerge w:val="continue"/>
            <w:tcBorders>
              <w:left w:val="single" w:color="000000" w:sz="4" w:space="0"/>
            </w:tcBorders>
            <w:vAlign w:val="center"/>
          </w:tcPr>
          <w:p>
            <w:pPr>
              <w:pStyle w:val="23"/>
              <w:spacing w:line="240" w:lineRule="auto"/>
              <w:rPr>
                <w:rFonts w:ascii="Times New Roman" w:hAnsi="Times New Roman" w:cs="Times New Roman"/>
                <w:sz w:val="21"/>
                <w:szCs w:val="21"/>
              </w:rPr>
            </w:pPr>
          </w:p>
        </w:tc>
        <w:tc>
          <w:tcPr>
            <w:tcW w:w="878" w:type="dxa"/>
            <w:vMerge w:val="continue"/>
            <w:tcBorders>
              <w:left w:val="single" w:color="000000" w:sz="4" w:space="0"/>
            </w:tcBorders>
            <w:vAlign w:val="center"/>
          </w:tcPr>
          <w:p>
            <w:pPr>
              <w:adjustRightInd w:val="0"/>
              <w:spacing w:line="240" w:lineRule="auto"/>
              <w:rPr>
                <w:rFonts w:cs="Times New Roman"/>
                <w:sz w:val="21"/>
                <w:szCs w:val="21"/>
              </w:rPr>
            </w:pPr>
          </w:p>
        </w:tc>
        <w:tc>
          <w:tcPr>
            <w:tcW w:w="1434" w:type="dxa"/>
            <w:tcBorders>
              <w:top w:val="single" w:color="000000" w:sz="4" w:space="0"/>
              <w:left w:val="single" w:color="000000" w:sz="4" w:space="0"/>
              <w:bottom w:val="single" w:color="000000" w:sz="8" w:space="0"/>
            </w:tcBorders>
            <w:vAlign w:val="center"/>
          </w:tcPr>
          <w:p>
            <w:pPr>
              <w:adjustRightInd w:val="0"/>
              <w:spacing w:line="240" w:lineRule="auto"/>
              <w:rPr>
                <w:rFonts w:cs="Times New Roman"/>
                <w:sz w:val="21"/>
                <w:szCs w:val="21"/>
              </w:rPr>
            </w:pPr>
            <w:r>
              <w:rPr>
                <w:rFonts w:cs="Times New Roman"/>
                <w:sz w:val="21"/>
                <w:szCs w:val="21"/>
              </w:rPr>
              <w:t>废油桶</w:t>
            </w:r>
          </w:p>
        </w:tc>
        <w:tc>
          <w:tcPr>
            <w:tcW w:w="2077" w:type="dxa"/>
            <w:vMerge w:val="continue"/>
            <w:tcBorders>
              <w:left w:val="single" w:color="000000" w:sz="4" w:space="0"/>
            </w:tcBorders>
            <w:vAlign w:val="center"/>
          </w:tcPr>
          <w:p>
            <w:pPr>
              <w:pStyle w:val="23"/>
              <w:spacing w:line="240" w:lineRule="auto"/>
              <w:rPr>
                <w:rFonts w:ascii="Times New Roman" w:hAnsi="Times New Roman" w:cs="Times New Roman"/>
                <w:sz w:val="21"/>
                <w:szCs w:val="21"/>
              </w:rPr>
            </w:pPr>
          </w:p>
        </w:tc>
        <w:tc>
          <w:tcPr>
            <w:tcW w:w="1758" w:type="dxa"/>
            <w:vMerge w:val="continue"/>
            <w:tcBorders>
              <w:left w:val="single" w:color="000000" w:sz="4" w:space="0"/>
            </w:tcBorders>
            <w:vAlign w:val="center"/>
          </w:tcPr>
          <w:p>
            <w:pPr>
              <w:pStyle w:val="23"/>
              <w:spacing w:line="240" w:lineRule="auto"/>
              <w:rPr>
                <w:rFonts w:ascii="Times New Roman" w:hAnsi="Times New Roman"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778" w:type="dxa"/>
            <w:vMerge w:val="continue"/>
            <w:tcBorders>
              <w:right w:val="single" w:color="000000" w:sz="4" w:space="0"/>
            </w:tcBorders>
            <w:vAlign w:val="center"/>
          </w:tcPr>
          <w:p>
            <w:pPr>
              <w:pStyle w:val="23"/>
              <w:spacing w:line="240" w:lineRule="auto"/>
              <w:rPr>
                <w:rFonts w:ascii="Times New Roman" w:hAnsi="Times New Roman" w:cs="Times New Roman"/>
                <w:b/>
                <w:bCs/>
                <w:sz w:val="21"/>
                <w:szCs w:val="21"/>
              </w:rPr>
            </w:pPr>
          </w:p>
        </w:tc>
        <w:tc>
          <w:tcPr>
            <w:tcW w:w="877" w:type="dxa"/>
            <w:vMerge w:val="continue"/>
            <w:tcBorders>
              <w:left w:val="single" w:color="000000" w:sz="4" w:space="0"/>
              <w:bottom w:val="single" w:color="000000" w:sz="8" w:space="0"/>
            </w:tcBorders>
            <w:vAlign w:val="center"/>
          </w:tcPr>
          <w:p>
            <w:pPr>
              <w:pStyle w:val="23"/>
              <w:spacing w:line="240" w:lineRule="auto"/>
              <w:rPr>
                <w:rFonts w:ascii="Times New Roman" w:hAnsi="Times New Roman" w:cs="Times New Roman"/>
                <w:sz w:val="21"/>
                <w:szCs w:val="21"/>
              </w:rPr>
            </w:pPr>
          </w:p>
        </w:tc>
        <w:tc>
          <w:tcPr>
            <w:tcW w:w="878" w:type="dxa"/>
            <w:vMerge w:val="continue"/>
            <w:tcBorders>
              <w:left w:val="single" w:color="000000" w:sz="4" w:space="0"/>
              <w:bottom w:val="single" w:color="000000" w:sz="8" w:space="0"/>
            </w:tcBorders>
            <w:vAlign w:val="center"/>
          </w:tcPr>
          <w:p>
            <w:pPr>
              <w:adjustRightInd w:val="0"/>
              <w:spacing w:line="240" w:lineRule="auto"/>
              <w:rPr>
                <w:rFonts w:cs="Times New Roman"/>
                <w:sz w:val="21"/>
                <w:szCs w:val="21"/>
              </w:rPr>
            </w:pPr>
          </w:p>
        </w:tc>
        <w:tc>
          <w:tcPr>
            <w:tcW w:w="1434" w:type="dxa"/>
            <w:tcBorders>
              <w:top w:val="single" w:color="000000" w:sz="4" w:space="0"/>
              <w:left w:val="single" w:color="000000" w:sz="4" w:space="0"/>
              <w:bottom w:val="single" w:color="000000" w:sz="8" w:space="0"/>
            </w:tcBorders>
            <w:vAlign w:val="center"/>
          </w:tcPr>
          <w:p>
            <w:pPr>
              <w:adjustRightInd w:val="0"/>
              <w:spacing w:line="240" w:lineRule="auto"/>
              <w:rPr>
                <w:rFonts w:cs="Times New Roman"/>
                <w:sz w:val="21"/>
                <w:szCs w:val="21"/>
              </w:rPr>
            </w:pPr>
            <w:r>
              <w:rPr>
                <w:rFonts w:hint="eastAsia" w:cs="Times New Roman"/>
                <w:sz w:val="21"/>
                <w:szCs w:val="21"/>
              </w:rPr>
              <w:t>废旧含油抹布及劳保用品</w:t>
            </w:r>
          </w:p>
        </w:tc>
        <w:tc>
          <w:tcPr>
            <w:tcW w:w="2077" w:type="dxa"/>
            <w:vMerge w:val="continue"/>
            <w:tcBorders>
              <w:left w:val="single" w:color="000000" w:sz="4" w:space="0"/>
              <w:bottom w:val="single" w:color="000000" w:sz="8" w:space="0"/>
            </w:tcBorders>
            <w:vAlign w:val="center"/>
          </w:tcPr>
          <w:p>
            <w:pPr>
              <w:pStyle w:val="23"/>
              <w:spacing w:line="240" w:lineRule="auto"/>
              <w:rPr>
                <w:rFonts w:ascii="Times New Roman" w:hAnsi="Times New Roman" w:cs="Times New Roman"/>
                <w:sz w:val="21"/>
                <w:szCs w:val="21"/>
              </w:rPr>
            </w:pPr>
          </w:p>
        </w:tc>
        <w:tc>
          <w:tcPr>
            <w:tcW w:w="1758" w:type="dxa"/>
            <w:vMerge w:val="continue"/>
            <w:tcBorders>
              <w:left w:val="single" w:color="000000" w:sz="4" w:space="0"/>
              <w:bottom w:val="single" w:color="000000" w:sz="8" w:space="0"/>
            </w:tcBorders>
            <w:vAlign w:val="center"/>
          </w:tcPr>
          <w:p>
            <w:pPr>
              <w:pStyle w:val="23"/>
              <w:spacing w:line="240" w:lineRule="auto"/>
              <w:rPr>
                <w:rFonts w:ascii="Times New Roman" w:hAnsi="Times New Roman"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6" w:hRule="atLeast"/>
        </w:trPr>
        <w:tc>
          <w:tcPr>
            <w:tcW w:w="1778" w:type="dxa"/>
            <w:tcBorders>
              <w:top w:val="single" w:color="000000" w:sz="4" w:space="0"/>
              <w:bottom w:val="single" w:color="000000" w:sz="4" w:space="0"/>
              <w:right w:val="single" w:color="000000" w:sz="4" w:space="0"/>
            </w:tcBorders>
            <w:vAlign w:val="center"/>
          </w:tcPr>
          <w:p>
            <w:pPr>
              <w:pStyle w:val="23"/>
              <w:spacing w:line="240" w:lineRule="auto"/>
              <w:rPr>
                <w:rFonts w:ascii="Times New Roman" w:hAnsi="Times New Roman" w:cs="Times New Roman"/>
                <w:b/>
                <w:bCs/>
                <w:sz w:val="21"/>
                <w:szCs w:val="21"/>
              </w:rPr>
            </w:pPr>
            <w:r>
              <w:rPr>
                <w:rFonts w:ascii="Times New Roman" w:hAnsi="Times New Roman" w:cs="Times New Roman"/>
                <w:b/>
                <w:bCs/>
                <w:sz w:val="21"/>
                <w:szCs w:val="21"/>
              </w:rPr>
              <w:t>土壤及地下水污染防治措施</w:t>
            </w:r>
          </w:p>
        </w:tc>
        <w:tc>
          <w:tcPr>
            <w:tcW w:w="7024" w:type="dxa"/>
            <w:gridSpan w:val="5"/>
            <w:tcBorders>
              <w:top w:val="single" w:color="000000" w:sz="4" w:space="0"/>
              <w:left w:val="single" w:color="000000" w:sz="4" w:space="0"/>
              <w:bottom w:val="single" w:color="000000" w:sz="4" w:space="0"/>
            </w:tcBorders>
            <w:vAlign w:val="center"/>
          </w:tcPr>
          <w:p>
            <w:pPr>
              <w:pStyle w:val="23"/>
              <w:spacing w:line="240" w:lineRule="auto"/>
              <w:jc w:val="left"/>
              <w:rPr>
                <w:rFonts w:ascii="Times New Roman" w:hAnsi="Times New Roman" w:cs="Times New Roman"/>
                <w:sz w:val="21"/>
                <w:szCs w:val="21"/>
              </w:rPr>
            </w:pPr>
            <w:r>
              <w:rPr>
                <w:rFonts w:hint="default" w:ascii="Times New Roman" w:hAnsi="Times New Roman" w:cs="Times New Roman"/>
                <w:sz w:val="21"/>
                <w:szCs w:val="21"/>
                <w:lang w:val="en-US"/>
              </w:rPr>
              <w:t>危险废物贮存间</w:t>
            </w:r>
            <w:r>
              <w:rPr>
                <w:rFonts w:hint="default" w:ascii="Times New Roman" w:hAnsi="Times New Roman" w:cs="Times New Roman"/>
                <w:sz w:val="21"/>
                <w:szCs w:val="21"/>
              </w:rPr>
              <w:t>设置防风、防雨、防晒、防渗，</w:t>
            </w:r>
            <w:r>
              <w:rPr>
                <w:rFonts w:hint="default" w:ascii="Times New Roman" w:hAnsi="Times New Roman" w:cs="Times New Roman"/>
                <w:sz w:val="21"/>
                <w:szCs w:val="21"/>
                <w:lang w:val="en-US"/>
              </w:rPr>
              <w:t>地面刷涂防腐层，设置废液收集池，泄漏液体及时收集，</w:t>
            </w:r>
            <w:r>
              <w:rPr>
                <w:rFonts w:hint="default" w:ascii="Times New Roman" w:hAnsi="Times New Roman" w:cs="Times New Roman"/>
                <w:kern w:val="21"/>
                <w:sz w:val="21"/>
                <w:szCs w:val="21"/>
              </w:rPr>
              <w:t>严禁出现跑冒滴漏情况。</w:t>
            </w:r>
            <w:r>
              <w:rPr>
                <w:rFonts w:hint="default" w:ascii="Times New Roman" w:hAnsi="Times New Roman" w:eastAsia="宋体" w:cs="Times New Roman"/>
                <w:color w:val="auto"/>
                <w:spacing w:val="-2"/>
                <w:sz w:val="21"/>
                <w:szCs w:val="21"/>
                <w:lang w:eastAsia="zh-CN"/>
              </w:rPr>
              <w:t>危险废物贮存间</w:t>
            </w:r>
            <w:r>
              <w:rPr>
                <w:rFonts w:hint="default" w:ascii="Times New Roman" w:hAnsi="Times New Roman" w:cs="Times New Roman"/>
                <w:color w:val="auto"/>
                <w:spacing w:val="-4"/>
                <w:sz w:val="21"/>
                <w:szCs w:val="21"/>
              </w:rPr>
              <w:t>防渗系数≤10</w:t>
            </w:r>
            <w:r>
              <w:rPr>
                <w:rFonts w:hint="default" w:ascii="Times New Roman" w:hAnsi="Times New Roman" w:cs="Times New Roman"/>
                <w:color w:val="auto"/>
                <w:spacing w:val="-4"/>
                <w:sz w:val="21"/>
                <w:szCs w:val="21"/>
                <w:vertAlign w:val="superscript"/>
              </w:rPr>
              <w:t>-</w:t>
            </w:r>
            <w:r>
              <w:rPr>
                <w:rFonts w:hint="default" w:ascii="Times New Roman" w:hAnsi="Times New Roman" w:eastAsia="宋体" w:cs="Times New Roman"/>
                <w:color w:val="auto"/>
                <w:spacing w:val="-4"/>
                <w:sz w:val="21"/>
                <w:szCs w:val="21"/>
                <w:vertAlign w:val="superscript"/>
                <w:lang w:val="en-US" w:eastAsia="zh-CN"/>
              </w:rPr>
              <w:t>10</w:t>
            </w:r>
            <w:r>
              <w:rPr>
                <w:rFonts w:hint="default" w:ascii="Times New Roman" w:hAnsi="Times New Roman" w:cs="Times New Roman"/>
                <w:color w:val="auto"/>
                <w:spacing w:val="-4"/>
                <w:sz w:val="21"/>
                <w:szCs w:val="21"/>
              </w:rPr>
              <w:t>cm/s，</w:t>
            </w:r>
            <w:r>
              <w:rPr>
                <w:rFonts w:hint="default" w:ascii="Times New Roman" w:hAnsi="Times New Roman" w:cs="Times New Roman"/>
                <w:color w:val="auto"/>
                <w:spacing w:val="-2"/>
                <w:sz w:val="21"/>
                <w:szCs w:val="21"/>
              </w:rPr>
              <w:t>厂区内地面</w:t>
            </w:r>
            <w:r>
              <w:rPr>
                <w:rFonts w:hint="default" w:ascii="Times New Roman" w:hAnsi="Times New Roman" w:cs="Times New Roman"/>
                <w:color w:val="auto"/>
                <w:spacing w:val="-2"/>
                <w:sz w:val="21"/>
                <w:szCs w:val="21"/>
                <w:lang w:eastAsia="zh-CN"/>
              </w:rPr>
              <w:t>已做一般水泥地面硬化处理</w:t>
            </w:r>
            <w:r>
              <w:rPr>
                <w:rFonts w:hint="eastAsia" w:ascii="Times New Roman" w:hAnsi="Times New Roman" w:cs="Times New Roman"/>
                <w:color w:val="auto"/>
                <w:spacing w:val="-2"/>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6" w:hRule="atLeast"/>
        </w:trPr>
        <w:tc>
          <w:tcPr>
            <w:tcW w:w="1778" w:type="dxa"/>
            <w:tcBorders>
              <w:top w:val="single" w:color="000000" w:sz="4" w:space="0"/>
              <w:bottom w:val="single" w:color="000000" w:sz="4" w:space="0"/>
              <w:right w:val="single" w:color="000000" w:sz="4" w:space="0"/>
            </w:tcBorders>
            <w:vAlign w:val="center"/>
          </w:tcPr>
          <w:p>
            <w:pPr>
              <w:pStyle w:val="23"/>
              <w:spacing w:line="240" w:lineRule="auto"/>
              <w:rPr>
                <w:rFonts w:ascii="Times New Roman" w:hAnsi="Times New Roman" w:cs="Times New Roman"/>
                <w:b/>
                <w:bCs/>
                <w:sz w:val="21"/>
                <w:szCs w:val="21"/>
              </w:rPr>
            </w:pPr>
            <w:r>
              <w:rPr>
                <w:rFonts w:ascii="Times New Roman" w:hAnsi="Times New Roman" w:cs="Times New Roman"/>
                <w:b/>
                <w:bCs/>
                <w:sz w:val="21"/>
                <w:szCs w:val="21"/>
              </w:rPr>
              <w:t>生态保护措施</w:t>
            </w:r>
          </w:p>
        </w:tc>
        <w:tc>
          <w:tcPr>
            <w:tcW w:w="7024" w:type="dxa"/>
            <w:gridSpan w:val="5"/>
            <w:tcBorders>
              <w:top w:val="single" w:color="000000" w:sz="4" w:space="0"/>
              <w:left w:val="single" w:color="000000" w:sz="4" w:space="0"/>
              <w:bottom w:val="single" w:color="000000" w:sz="4" w:space="0"/>
            </w:tcBorders>
            <w:vAlign w:val="center"/>
          </w:tcPr>
          <w:p>
            <w:pPr>
              <w:pStyle w:val="23"/>
              <w:spacing w:line="240" w:lineRule="auto"/>
              <w:rPr>
                <w:rFonts w:ascii="Times New Roman" w:hAnsi="Times New Roman" w:cs="Times New Roman"/>
                <w:sz w:val="21"/>
                <w:szCs w:val="21"/>
              </w:rPr>
            </w:pPr>
            <w:r>
              <w:rPr>
                <w:rFonts w:hint="eastAsia" w:ascii="Times New Roman" w:hAnsi="Times New Roman" w:cs="Times New Roman"/>
                <w:sz w:val="21"/>
                <w:szCs w:val="21"/>
              </w:rPr>
              <w:t>不涉及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7" w:hRule="atLeast"/>
        </w:trPr>
        <w:tc>
          <w:tcPr>
            <w:tcW w:w="1778" w:type="dxa"/>
            <w:tcBorders>
              <w:top w:val="single" w:color="000000" w:sz="4" w:space="0"/>
              <w:bottom w:val="single" w:color="000000" w:sz="4" w:space="0"/>
              <w:right w:val="single" w:color="000000" w:sz="4" w:space="0"/>
            </w:tcBorders>
            <w:vAlign w:val="center"/>
          </w:tcPr>
          <w:p>
            <w:pPr>
              <w:pStyle w:val="23"/>
              <w:spacing w:line="240" w:lineRule="auto"/>
              <w:rPr>
                <w:rFonts w:ascii="Times New Roman" w:hAnsi="Times New Roman" w:cs="Times New Roman"/>
                <w:b/>
                <w:bCs/>
                <w:sz w:val="21"/>
                <w:szCs w:val="21"/>
              </w:rPr>
            </w:pPr>
            <w:r>
              <w:rPr>
                <w:rFonts w:ascii="Times New Roman" w:hAnsi="Times New Roman" w:cs="Times New Roman"/>
                <w:b/>
                <w:bCs/>
                <w:sz w:val="21"/>
                <w:szCs w:val="21"/>
              </w:rPr>
              <w:t>环境风险防范措施</w:t>
            </w:r>
          </w:p>
        </w:tc>
        <w:tc>
          <w:tcPr>
            <w:tcW w:w="7024" w:type="dxa"/>
            <w:gridSpan w:val="5"/>
            <w:tcBorders>
              <w:top w:val="single" w:color="000000" w:sz="4" w:space="0"/>
              <w:left w:val="single" w:color="000000" w:sz="4" w:space="0"/>
              <w:bottom w:val="single" w:color="000000" w:sz="4" w:space="0"/>
            </w:tcBorders>
            <w:vAlign w:val="center"/>
          </w:tcPr>
          <w:p>
            <w:pPr>
              <w:pStyle w:val="23"/>
              <w:spacing w:line="240" w:lineRule="auto"/>
              <w:rPr>
                <w:rFonts w:ascii="Times New Roman" w:hAnsi="Times New Roman" w:cs="Times New Roman"/>
                <w:sz w:val="21"/>
                <w:szCs w:val="21"/>
              </w:rPr>
            </w:pPr>
          </w:p>
          <w:p>
            <w:pPr>
              <w:pStyle w:val="23"/>
              <w:spacing w:line="240" w:lineRule="auto"/>
              <w:jc w:val="left"/>
              <w:rPr>
                <w:rFonts w:ascii="Times New Roman" w:hAnsi="Times New Roman" w:cs="Times New Roman"/>
                <w:sz w:val="21"/>
                <w:szCs w:val="21"/>
              </w:rPr>
            </w:pPr>
            <w:r>
              <w:rPr>
                <w:rFonts w:hint="eastAsia" w:ascii="Times New Roman" w:hAnsi="Times New Roman" w:cs="Times New Roman"/>
                <w:sz w:val="21"/>
                <w:szCs w:val="21"/>
                <w:lang w:val="en-US"/>
              </w:rPr>
              <w:t>危险废物贮存间</w:t>
            </w:r>
            <w:r>
              <w:rPr>
                <w:rFonts w:ascii="Times New Roman" w:hAnsi="Times New Roman" w:cs="Times New Roman"/>
                <w:sz w:val="21"/>
                <w:szCs w:val="21"/>
              </w:rPr>
              <w:t>设置防风、防雨、防晒、防渗</w:t>
            </w:r>
            <w:r>
              <w:rPr>
                <w:rFonts w:hint="eastAsia" w:ascii="Times New Roman" w:hAnsi="Times New Roman" w:cs="Times New Roman"/>
                <w:sz w:val="21"/>
                <w:szCs w:val="21"/>
              </w:rPr>
              <w:t>，</w:t>
            </w:r>
            <w:r>
              <w:rPr>
                <w:rFonts w:hint="eastAsia" w:ascii="Times New Roman" w:hAnsi="Times New Roman" w:cs="Times New Roman"/>
                <w:sz w:val="21"/>
                <w:szCs w:val="21"/>
                <w:lang w:val="en-US"/>
              </w:rPr>
              <w:t>地面刷涂防腐层，设置废液收集池，泄漏液体及时收集，</w:t>
            </w:r>
            <w:r>
              <w:rPr>
                <w:kern w:val="21"/>
                <w:sz w:val="21"/>
                <w:szCs w:val="21"/>
              </w:rPr>
              <w:t>严禁出现跑冒滴漏情况。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2" w:hRule="atLeast"/>
        </w:trPr>
        <w:tc>
          <w:tcPr>
            <w:tcW w:w="1778" w:type="dxa"/>
            <w:tcBorders>
              <w:top w:val="single" w:color="000000" w:sz="4" w:space="0"/>
              <w:right w:val="single" w:color="000000" w:sz="4" w:space="0"/>
            </w:tcBorders>
            <w:vAlign w:val="center"/>
          </w:tcPr>
          <w:p>
            <w:pPr>
              <w:pStyle w:val="23"/>
              <w:spacing w:line="240" w:lineRule="auto"/>
              <w:rPr>
                <w:rFonts w:ascii="Times New Roman" w:hAnsi="Times New Roman" w:cs="Times New Roman"/>
                <w:b/>
                <w:bCs/>
                <w:sz w:val="21"/>
                <w:szCs w:val="21"/>
              </w:rPr>
            </w:pPr>
            <w:r>
              <w:rPr>
                <w:rFonts w:ascii="Times New Roman" w:hAnsi="Times New Roman" w:cs="Times New Roman"/>
                <w:b/>
                <w:bCs/>
                <w:sz w:val="21"/>
                <w:szCs w:val="21"/>
              </w:rPr>
              <w:t>其他环境管理要求</w:t>
            </w:r>
          </w:p>
        </w:tc>
        <w:tc>
          <w:tcPr>
            <w:tcW w:w="7024" w:type="dxa"/>
            <w:gridSpan w:val="5"/>
            <w:tcBorders>
              <w:top w:val="single" w:color="000000" w:sz="4" w:space="0"/>
              <w:left w:val="single" w:color="000000" w:sz="4" w:space="0"/>
            </w:tcBorders>
            <w:vAlign w:val="center"/>
          </w:tcPr>
          <w:p>
            <w:pPr>
              <w:pStyle w:val="23"/>
              <w:keepNext w:val="0"/>
              <w:keepLines w:val="0"/>
              <w:pageBreakBefore w:val="0"/>
              <w:widowControl w:val="0"/>
              <w:kinsoku/>
              <w:wordWrap/>
              <w:overflowPunct/>
              <w:topLinePunct w:val="0"/>
              <w:autoSpaceDE w:val="0"/>
              <w:autoSpaceDN w:val="0"/>
              <w:bidi w:val="0"/>
              <w:adjustRightInd/>
              <w:snapToGrid/>
              <w:spacing w:line="240" w:lineRule="auto"/>
              <w:ind w:firstLine="422" w:firstLineChars="200"/>
              <w:jc w:val="left"/>
              <w:textAlignment w:val="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1、环境保护竣工验收</w:t>
            </w:r>
          </w:p>
          <w:p>
            <w:pPr>
              <w:pStyle w:val="23"/>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三同时”是我国环境管理中的一项重要制度，《中华人民共和国环境保护法》把这一原则规定为法律制度。因此，建设单位必须予以高度重视，建设项目中的防治污染的设施必须与主体工程同时设计、同时施工、同时投产。根据《关于发布&lt;建设项目竣工环境保护验收暂行办法&gt;的公告》（国环规环评[2017]4号），建设项目竣工后，建设单位应根据环评文件及审批意见，进行自主验收，向社会公开并向环保部门备案。</w:t>
            </w:r>
          </w:p>
          <w:p>
            <w:pPr>
              <w:pStyle w:val="23"/>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根据《建设项目竣工环境保护验收暂行办法》第二章，第十二条：除需要取得排污许可证的水和大气污染防治设施外，其他环境保护设施的验收期限一般不超过3个月；需要对该类环境保护设施进行调试或者整改的，验收期限可以适当延期，但最长不超过12个月。验收期限是指自建设项目环境保护设施竣工之日起至建设单位向社会公开验收报告之日止的时间。</w:t>
            </w:r>
          </w:p>
          <w:p>
            <w:pPr>
              <w:pStyle w:val="23"/>
              <w:keepNext w:val="0"/>
              <w:keepLines w:val="0"/>
              <w:pageBreakBefore w:val="0"/>
              <w:widowControl w:val="0"/>
              <w:kinsoku/>
              <w:wordWrap/>
              <w:overflowPunct/>
              <w:topLinePunct w:val="0"/>
              <w:autoSpaceDE w:val="0"/>
              <w:autoSpaceDN w:val="0"/>
              <w:bidi w:val="0"/>
              <w:adjustRightInd/>
              <w:snapToGrid/>
              <w:spacing w:line="240" w:lineRule="auto"/>
              <w:ind w:firstLine="422" w:firstLineChars="200"/>
              <w:jc w:val="left"/>
              <w:textAlignment w:val="auto"/>
              <w:rPr>
                <w:rFonts w:ascii="Times New Roman" w:hAnsi="Times New Roman" w:cs="Times New Roman"/>
                <w:sz w:val="21"/>
                <w:szCs w:val="21"/>
                <w:lang w:val="en-US"/>
              </w:rPr>
            </w:pPr>
            <w:r>
              <w:rPr>
                <w:rFonts w:hint="eastAsia" w:ascii="Times New Roman" w:hAnsi="Times New Roman" w:cs="Times New Roman"/>
                <w:b/>
                <w:bCs/>
                <w:sz w:val="21"/>
                <w:szCs w:val="21"/>
                <w:lang w:val="en-US"/>
              </w:rPr>
              <w:t>2、严格落实排污许可制度</w:t>
            </w:r>
          </w:p>
          <w:p>
            <w:pPr>
              <w:pStyle w:val="23"/>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⑴落实按证排污责任</w:t>
            </w:r>
          </w:p>
          <w:p>
            <w:pPr>
              <w:pStyle w:val="23"/>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依据国务院办公厅关于印发《控制污染物排放许可制实施方案的通知》（国办发[2016]81号）、《排污许可管理办法（试行）》（部令第48号）、《关于做好环境影响评价制度与排污许可制衔接相关工作的通知》（环办环评[2017]84号）中相关要求，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应当取得排污许可证而未取得的，不得排放污染物。明确单位负责人和相关人员环境保护责任，不断提高污染治理和环境管理水平，自觉接受监督检查。</w:t>
            </w:r>
          </w:p>
          <w:p>
            <w:pPr>
              <w:pStyle w:val="23"/>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⑵实行自行监测和定期报告制度</w:t>
            </w:r>
          </w:p>
          <w:p>
            <w:pPr>
              <w:pStyle w:val="23"/>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p>
          <w:p>
            <w:pPr>
              <w:pStyle w:val="23"/>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ascii="Times New Roman" w:hAnsi="Times New Roman" w:cs="Times New Roman"/>
                <w:sz w:val="21"/>
                <w:szCs w:val="21"/>
                <w:lang w:val="en-US"/>
              </w:rPr>
            </w:pPr>
            <w:r>
              <w:rPr>
                <w:rFonts w:hint="eastAsia" w:ascii="Times New Roman" w:hAnsi="Times New Roman" w:cs="Times New Roman"/>
                <w:sz w:val="21"/>
                <w:szCs w:val="21"/>
                <w:lang w:val="en-US"/>
              </w:rPr>
              <w:t>⑶排污许可证管理规范化</w:t>
            </w:r>
          </w:p>
          <w:p>
            <w:pPr>
              <w:pStyle w:val="23"/>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ascii="Times New Roman" w:hAnsi="Times New Roman" w:cs="Times New Roman"/>
                <w:color w:val="auto"/>
                <w:sz w:val="21"/>
                <w:szCs w:val="21"/>
                <w:lang w:val="en-US"/>
              </w:rPr>
            </w:pPr>
            <w:r>
              <w:rPr>
                <w:rFonts w:hint="eastAsia" w:ascii="Times New Roman" w:hAnsi="Times New Roman" w:cs="Times New Roman"/>
                <w:sz w:val="21"/>
                <w:szCs w:val="21"/>
                <w:lang w:val="en-US"/>
              </w:rPr>
              <w:t>安排污许可证规定，定期在国家排污许可证管理信息平台填报信息，编制排污许可证执行报告，及时报送有核发权的环境保护主管部门并公开，执行报告主要内容包括生产信息、污染防治设施运行情况、污染物按证排放情况</w:t>
            </w:r>
            <w:r>
              <w:rPr>
                <w:rFonts w:hint="eastAsia" w:ascii="Times New Roman" w:hAnsi="Times New Roman" w:cs="Times New Roman"/>
                <w:color w:val="auto"/>
                <w:sz w:val="21"/>
                <w:szCs w:val="21"/>
                <w:lang w:val="en-US"/>
              </w:rPr>
              <w:t>等。</w:t>
            </w:r>
          </w:p>
          <w:p>
            <w:pPr>
              <w:pStyle w:val="23"/>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⑷排污许可衔接</w:t>
            </w:r>
          </w:p>
          <w:p>
            <w:pPr>
              <w:pStyle w:val="23"/>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ascii="Times New Roman" w:hAnsi="Times New Roman" w:cs="Times New Roman"/>
                <w:sz w:val="21"/>
                <w:szCs w:val="21"/>
                <w:lang w:val="en-US"/>
              </w:rPr>
            </w:pPr>
            <w:r>
              <w:rPr>
                <w:rFonts w:hint="eastAsia" w:ascii="Times New Roman" w:hAnsi="Times New Roman" w:eastAsia="宋体" w:cs="Times New Roman"/>
                <w:color w:val="auto"/>
                <w:sz w:val="21"/>
                <w:szCs w:val="21"/>
                <w:lang w:val="en-US" w:eastAsia="zh-CN"/>
              </w:rPr>
              <w:t>根据《关于做好环境影响评价制度与排污许可制衔接相关工作的通知》（环办环评[2017]84号）及《固定污染源排污许可分类管理名录（2019年版）》（生态环境部令第11号），</w:t>
            </w:r>
            <w:r>
              <w:rPr>
                <w:rFonts w:hint="default" w:ascii="Times New Roman" w:hAnsi="Times New Roman" w:cs="Times New Roman"/>
                <w:color w:val="auto"/>
                <w:sz w:val="21"/>
                <w:szCs w:val="21"/>
                <w:lang w:val="en-US"/>
              </w:rPr>
              <w:t>属于</w:t>
            </w:r>
            <w:r>
              <w:rPr>
                <w:rFonts w:hint="eastAsia" w:ascii="Times New Roman" w:hAnsi="Times New Roman" w:cs="Times New Roman"/>
                <w:color w:val="auto"/>
                <w:sz w:val="21"/>
                <w:szCs w:val="21"/>
                <w:lang w:val="en-US" w:eastAsia="zh-CN"/>
              </w:rPr>
              <w:t>C3039其他建筑材料制造</w:t>
            </w:r>
            <w:r>
              <w:rPr>
                <w:rFonts w:hint="eastAsia" w:ascii="Times New Roman" w:hAnsi="Times New Roman" w:cs="Times New Roman"/>
                <w:color w:val="auto"/>
                <w:sz w:val="21"/>
                <w:szCs w:val="21"/>
                <w:lang w:val="en-US"/>
              </w:rPr>
              <w:t>，</w:t>
            </w:r>
            <w:r>
              <w:rPr>
                <w:rFonts w:hint="eastAsia" w:ascii="Times New Roman" w:hAnsi="Times New Roman" w:eastAsia="宋体" w:cs="Times New Roman"/>
                <w:color w:val="auto"/>
                <w:sz w:val="21"/>
                <w:szCs w:val="21"/>
                <w:lang w:val="en-US" w:eastAsia="zh-CN"/>
              </w:rPr>
              <w:t>属于</w:t>
            </w:r>
            <w:r>
              <w:rPr>
                <w:rFonts w:hint="eastAsia" w:ascii="Times New Roman" w:hAnsi="Times New Roman" w:cs="Times New Roman"/>
                <w:color w:val="auto"/>
                <w:sz w:val="21"/>
                <w:szCs w:val="21"/>
                <w:lang w:val="en-US" w:eastAsia="zh-CN"/>
              </w:rPr>
              <w:t>简化</w:t>
            </w:r>
            <w:r>
              <w:rPr>
                <w:rFonts w:hint="eastAsia" w:ascii="Times New Roman" w:hAnsi="Times New Roman" w:eastAsia="宋体" w:cs="Times New Roman"/>
                <w:color w:val="auto"/>
                <w:sz w:val="21"/>
                <w:szCs w:val="21"/>
                <w:lang w:val="en-US" w:eastAsia="zh-CN"/>
              </w:rPr>
              <w:t>管理范畴。企业应在实际生产开始前登录全国排污许可证管理信息平台</w:t>
            </w:r>
            <w:r>
              <w:rPr>
                <w:rFonts w:hint="eastAsia" w:ascii="Times New Roman" w:hAnsi="Times New Roman" w:cs="Times New Roman"/>
                <w:color w:val="auto"/>
                <w:sz w:val="21"/>
                <w:szCs w:val="21"/>
                <w:lang w:val="en-US"/>
              </w:rPr>
              <w:t>申报简化管理，并申领排污许可证。</w:t>
            </w:r>
          </w:p>
        </w:tc>
      </w:tr>
    </w:tbl>
    <w:p>
      <w:pPr>
        <w:rPr>
          <w:sz w:val="21"/>
        </w:rPr>
        <w:sectPr>
          <w:pgSz w:w="11910" w:h="16840"/>
          <w:pgMar w:top="1417" w:right="1247" w:bottom="1417" w:left="1247" w:header="0" w:footer="1247" w:gutter="0"/>
          <w:cols w:space="720" w:num="1"/>
        </w:sectPr>
      </w:pPr>
    </w:p>
    <w:p>
      <w:pPr>
        <w:pStyle w:val="3"/>
        <w:spacing w:after="0" w:afterLines="0"/>
      </w:pPr>
      <w:r>
        <w:rPr>
          <w:rFonts w:hint="eastAsia"/>
        </w:rPr>
        <w:t>六、结论</w:t>
      </w:r>
    </w:p>
    <w:p>
      <w:pPr>
        <w:pStyle w:val="7"/>
        <w:spacing w:before="10"/>
        <w:jc w:val="both"/>
        <w:rPr>
          <w:sz w:val="18"/>
        </w:rPr>
      </w:pPr>
      <w:r>
        <mc:AlternateContent>
          <mc:Choice Requires="wps">
            <w:drawing>
              <wp:anchor distT="0" distB="0" distL="114300" distR="114300" simplePos="0" relativeHeight="251659264" behindDoc="1" locked="0" layoutInCell="1" allowOverlap="1">
                <wp:simplePos x="0" y="0"/>
                <wp:positionH relativeFrom="page">
                  <wp:posOffset>964565</wp:posOffset>
                </wp:positionH>
                <wp:positionV relativeFrom="paragraph">
                  <wp:posOffset>184150</wp:posOffset>
                </wp:positionV>
                <wp:extent cx="5631180" cy="7628890"/>
                <wp:effectExtent l="6350" t="6350" r="20320" b="22860"/>
                <wp:wrapTopAndBottom/>
                <wp:docPr id="7" name="文本框 7"/>
                <wp:cNvGraphicFramePr/>
                <a:graphic xmlns:a="http://schemas.openxmlformats.org/drawingml/2006/main">
                  <a:graphicData uri="http://schemas.microsoft.com/office/word/2010/wordprocessingShape">
                    <wps:wsp>
                      <wps:cNvSpPr txBox="1"/>
                      <wps:spPr>
                        <a:xfrm>
                          <a:off x="0" y="0"/>
                          <a:ext cx="5631180" cy="7628890"/>
                        </a:xfrm>
                        <a:prstGeom prst="rect">
                          <a:avLst/>
                        </a:prstGeom>
                        <a:noFill/>
                        <a:ln w="12191"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rPr>
                            </w:pPr>
                            <w:r>
                              <w:rPr>
                                <w:rFonts w:hint="eastAsia"/>
                              </w:rPr>
                              <w:t>本项目建设符合国家和</w:t>
                            </w:r>
                            <w:r>
                              <w:rPr>
                                <w:rFonts w:hint="eastAsia"/>
                                <w:lang w:eastAsia="zh-CN"/>
                              </w:rPr>
                              <w:t>兴隆县</w:t>
                            </w:r>
                            <w:r>
                              <w:rPr>
                                <w:rFonts w:hint="eastAsia"/>
                              </w:rPr>
                              <w:t>的产业政策要求。选址可行，布局合理，采取的各项环保治理措施技术可行、设施可靠，可使各污染物实现最大程度削减，实现达标排放，对环境的影响可满足相应功能区的要求。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rPr>
                              <w:t>因此，综上所述，建设单位在认真落实环评中提出的各项污染治理措施和建议的基础上，从环保角度，评价认为工程的建设是可行的。</w:t>
                            </w: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17"/>
                              </w:rPr>
                            </w:pPr>
                          </w:p>
                          <w:p>
                            <w:pPr>
                              <w:ind w:left="98"/>
                              <w:jc w:val="left"/>
                              <w:rPr>
                                <w:rFonts w:hint="eastAsia" w:eastAsia="宋体"/>
                                <w:lang w:eastAsia="zh-CN"/>
                              </w:rPr>
                            </w:pPr>
                          </w:p>
                        </w:txbxContent>
                      </wps:txbx>
                      <wps:bodyPr lIns="0" tIns="0" rIns="0" bIns="0" upright="1"/>
                    </wps:wsp>
                  </a:graphicData>
                </a:graphic>
              </wp:anchor>
            </w:drawing>
          </mc:Choice>
          <mc:Fallback>
            <w:pict>
              <v:shape id="_x0000_s1026" o:spid="_x0000_s1026" o:spt="202" type="#_x0000_t202" style="position:absolute;left:0pt;margin-left:75.95pt;margin-top:14.5pt;height:600.7pt;width:443.4pt;mso-position-horizontal-relative:page;mso-wrap-distance-bottom:0pt;mso-wrap-distance-top:0pt;z-index:-251657216;mso-width-relative:page;mso-height-relative:page;" filled="f" stroked="t" coordsize="21600,21600" o:gfxdata="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Cc3+NgAAAAMAQAADwAA&#10;AAAAAAABACAAAAAiAAAAZHJzL2Rvd25yZXYueG1sUEsBAhQAFAAAAAgAh07iQOCPfCEWAgAAMwQA&#10;AA4AAAAAAAAAAQAgAAAAJwEAAGRycy9lMm9Eb2MueG1sUEsFBgAAAAAGAAYAWQEAAK8FAAAAAA==&#10;">
                <v:fill on="f" focussize="0,0"/>
                <v:stroke weight="0.95992125984252pt" color="#000000"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rPr>
                      </w:pPr>
                      <w:r>
                        <w:rPr>
                          <w:rFonts w:hint="eastAsia"/>
                        </w:rPr>
                        <w:t>本项目建设符合国家和</w:t>
                      </w:r>
                      <w:r>
                        <w:rPr>
                          <w:rFonts w:hint="eastAsia"/>
                          <w:lang w:eastAsia="zh-CN"/>
                        </w:rPr>
                        <w:t>兴隆县</w:t>
                      </w:r>
                      <w:r>
                        <w:rPr>
                          <w:rFonts w:hint="eastAsia"/>
                        </w:rPr>
                        <w:t>的产业政策要求。选址可行，布局合理，采取的各项环保治理措施技术可行、设施可靠，可使各污染物实现最大程度削减，实现达标排放，对环境的影响可满足相应功能区的要求。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rPr>
                        <w:t>因此，综上所述，建设单位在认真落实环评中提出的各项污染治理措施和建议的基础上，从环保角度，评价认为工程的建设是可行的。</w:t>
                      </w: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17"/>
                        </w:rPr>
                      </w:pPr>
                    </w:p>
                    <w:p>
                      <w:pPr>
                        <w:ind w:left="98"/>
                        <w:jc w:val="left"/>
                        <w:rPr>
                          <w:rFonts w:hint="eastAsia" w:eastAsia="宋体"/>
                          <w:lang w:eastAsia="zh-CN"/>
                        </w:rPr>
                      </w:pPr>
                    </w:p>
                  </w:txbxContent>
                </v:textbox>
                <w10:wrap type="topAndBottom"/>
              </v:shape>
            </w:pict>
          </mc:Fallback>
        </mc:AlternateContent>
      </w:r>
    </w:p>
    <w:p>
      <w:pPr>
        <w:sectPr>
          <w:pgSz w:w="11906" w:h="16838"/>
          <w:pgMar w:top="1417" w:right="1247" w:bottom="1417" w:left="1247" w:header="851" w:footer="1247" w:gutter="0"/>
          <w:cols w:space="425" w:num="1"/>
          <w:docGrid w:type="lines" w:linePitch="312" w:charSpace="0"/>
        </w:sectPr>
      </w:pPr>
    </w:p>
    <w:p>
      <w:pPr>
        <w:jc w:val="left"/>
        <w:rPr>
          <w:sz w:val="30"/>
          <w:szCs w:val="30"/>
        </w:rPr>
      </w:pPr>
      <w:r>
        <w:rPr>
          <w:rFonts w:hint="eastAsia" w:ascii="宋体" w:hAnsi="宋体"/>
          <w:b/>
          <w:bCs/>
          <w:sz w:val="30"/>
          <w:szCs w:val="30"/>
        </w:rPr>
        <w:t>附表</w:t>
      </w:r>
    </w:p>
    <w:p>
      <w:pPr>
        <w:pStyle w:val="3"/>
        <w:spacing w:after="156"/>
      </w:pPr>
      <w:r>
        <w:rPr>
          <w:rFonts w:hint="eastAsia"/>
        </w:rPr>
        <w:t>建设项目污染物排放量汇总表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575"/>
        <w:gridCol w:w="1575"/>
        <w:gridCol w:w="1575"/>
        <w:gridCol w:w="1575"/>
        <w:gridCol w:w="1575"/>
        <w:gridCol w:w="1575"/>
        <w:gridCol w:w="1801"/>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Align w:val="center"/>
          </w:tcPr>
          <w:p>
            <w:pPr>
              <w:rPr>
                <w:rFonts w:ascii="宋体" w:hAnsi="宋体"/>
                <w:sz w:val="21"/>
                <w:szCs w:val="21"/>
              </w:rPr>
            </w:pPr>
            <w:r>
              <w:rPr>
                <w:rFonts w:hint="eastAsia" w:ascii="宋体" w:hAnsi="宋体"/>
                <w:sz w:val="21"/>
                <w:szCs w:val="21"/>
              </w:rPr>
              <w:t>分类</w:t>
            </w:r>
          </w:p>
          <w:p>
            <w:pPr>
              <w:rPr>
                <w:rFonts w:ascii="宋体" w:hAnsi="宋体"/>
                <w:sz w:val="21"/>
                <w:szCs w:val="21"/>
                <w:lang w:val="en-US"/>
              </w:rPr>
            </w:pPr>
            <w:r>
              <w:rPr>
                <w:rFonts w:hint="eastAsia" w:ascii="宋体" w:hAnsi="宋体"/>
                <w:sz w:val="21"/>
                <w:szCs w:val="21"/>
                <w:lang w:val="en-US"/>
              </w:rPr>
              <w:t>项目</w:t>
            </w:r>
          </w:p>
        </w:tc>
        <w:tc>
          <w:tcPr>
            <w:tcW w:w="1575" w:type="dxa"/>
            <w:vAlign w:val="center"/>
          </w:tcPr>
          <w:p>
            <w:pPr>
              <w:rPr>
                <w:rFonts w:ascii="宋体" w:hAnsi="宋体"/>
                <w:color w:val="auto"/>
                <w:sz w:val="21"/>
                <w:szCs w:val="21"/>
              </w:rPr>
            </w:pPr>
            <w:r>
              <w:rPr>
                <w:rFonts w:hint="eastAsia" w:ascii="宋体" w:hAnsi="宋体"/>
                <w:color w:val="auto"/>
                <w:sz w:val="21"/>
                <w:szCs w:val="21"/>
              </w:rPr>
              <w:t>污染物名称</w:t>
            </w:r>
          </w:p>
        </w:tc>
        <w:tc>
          <w:tcPr>
            <w:tcW w:w="1575" w:type="dxa"/>
            <w:vAlign w:val="center"/>
          </w:tcPr>
          <w:p>
            <w:pPr>
              <w:rPr>
                <w:rFonts w:ascii="宋体" w:hAnsi="宋体"/>
                <w:color w:val="auto"/>
                <w:sz w:val="21"/>
                <w:szCs w:val="21"/>
              </w:rPr>
            </w:pPr>
            <w:r>
              <w:rPr>
                <w:rFonts w:hint="eastAsia" w:ascii="宋体" w:hAnsi="宋体"/>
                <w:color w:val="auto"/>
                <w:sz w:val="21"/>
                <w:szCs w:val="21"/>
              </w:rPr>
              <w:t>现有工程排放量（固体废物产生量）①</w:t>
            </w:r>
          </w:p>
        </w:tc>
        <w:tc>
          <w:tcPr>
            <w:tcW w:w="1575" w:type="dxa"/>
            <w:vAlign w:val="center"/>
          </w:tcPr>
          <w:p>
            <w:pPr>
              <w:rPr>
                <w:rFonts w:ascii="宋体" w:hAnsi="宋体"/>
                <w:color w:val="auto"/>
                <w:sz w:val="21"/>
                <w:szCs w:val="21"/>
              </w:rPr>
            </w:pPr>
            <w:r>
              <w:rPr>
                <w:rFonts w:hint="eastAsia" w:ascii="宋体" w:hAnsi="宋体"/>
                <w:color w:val="auto"/>
                <w:sz w:val="21"/>
                <w:szCs w:val="21"/>
              </w:rPr>
              <w:t>现有工程许可排放量②</w:t>
            </w:r>
          </w:p>
        </w:tc>
        <w:tc>
          <w:tcPr>
            <w:tcW w:w="1575" w:type="dxa"/>
            <w:vAlign w:val="center"/>
          </w:tcPr>
          <w:p>
            <w:pPr>
              <w:rPr>
                <w:rFonts w:ascii="宋体" w:hAnsi="宋体"/>
                <w:color w:val="auto"/>
                <w:sz w:val="21"/>
                <w:szCs w:val="21"/>
              </w:rPr>
            </w:pPr>
            <w:r>
              <w:rPr>
                <w:rFonts w:hint="eastAsia" w:ascii="宋体" w:hAnsi="宋体"/>
                <w:color w:val="auto"/>
                <w:sz w:val="21"/>
                <w:szCs w:val="21"/>
              </w:rPr>
              <w:t>在建工程排放量（固体废物产生量）③</w:t>
            </w:r>
          </w:p>
        </w:tc>
        <w:tc>
          <w:tcPr>
            <w:tcW w:w="1575" w:type="dxa"/>
            <w:vAlign w:val="center"/>
          </w:tcPr>
          <w:p>
            <w:pPr>
              <w:rPr>
                <w:rFonts w:ascii="宋体" w:hAnsi="宋体"/>
                <w:color w:val="auto"/>
                <w:sz w:val="21"/>
                <w:szCs w:val="21"/>
              </w:rPr>
            </w:pPr>
            <w:r>
              <w:rPr>
                <w:rFonts w:hint="eastAsia" w:ascii="宋体" w:hAnsi="宋体"/>
                <w:color w:val="auto"/>
                <w:sz w:val="21"/>
                <w:szCs w:val="21"/>
              </w:rPr>
              <w:t>本项目排放量（固体废物产生量）④</w:t>
            </w:r>
          </w:p>
        </w:tc>
        <w:tc>
          <w:tcPr>
            <w:tcW w:w="1575" w:type="dxa"/>
            <w:vAlign w:val="center"/>
          </w:tcPr>
          <w:p>
            <w:pPr>
              <w:rPr>
                <w:rFonts w:ascii="宋体" w:hAnsi="宋体"/>
                <w:color w:val="auto"/>
                <w:sz w:val="21"/>
                <w:szCs w:val="21"/>
              </w:rPr>
            </w:pPr>
            <w:r>
              <w:rPr>
                <w:rFonts w:hint="eastAsia" w:ascii="宋体" w:hAnsi="宋体"/>
                <w:color w:val="auto"/>
                <w:sz w:val="21"/>
                <w:szCs w:val="21"/>
              </w:rPr>
              <w:t>以新带老削减量（新建项目不填）⑤</w:t>
            </w:r>
          </w:p>
        </w:tc>
        <w:tc>
          <w:tcPr>
            <w:tcW w:w="1801" w:type="dxa"/>
            <w:vAlign w:val="center"/>
          </w:tcPr>
          <w:p>
            <w:pPr>
              <w:rPr>
                <w:rFonts w:ascii="宋体" w:hAnsi="宋体"/>
                <w:color w:val="auto"/>
                <w:sz w:val="21"/>
                <w:szCs w:val="21"/>
              </w:rPr>
            </w:pPr>
            <w:r>
              <w:rPr>
                <w:rFonts w:hint="eastAsia" w:ascii="宋体" w:hAnsi="宋体"/>
                <w:color w:val="auto"/>
                <w:sz w:val="21"/>
                <w:szCs w:val="21"/>
              </w:rPr>
              <w:t>本项目建成后全厂排放量（固体废物产生量）⑥</w:t>
            </w:r>
          </w:p>
        </w:tc>
        <w:tc>
          <w:tcPr>
            <w:tcW w:w="1349" w:type="dxa"/>
            <w:vAlign w:val="center"/>
          </w:tcPr>
          <w:p>
            <w:pPr>
              <w:rPr>
                <w:rFonts w:ascii="宋体" w:hAnsi="宋体"/>
                <w:sz w:val="21"/>
                <w:szCs w:val="21"/>
              </w:rPr>
            </w:pPr>
            <w:r>
              <w:rPr>
                <w:rFonts w:hint="eastAsia" w:ascii="宋体" w:hAnsi="宋体"/>
                <w:sz w:val="21"/>
                <w:szCs w:val="21"/>
              </w:rPr>
              <w:t>变化量⑦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Align w:val="center"/>
          </w:tcPr>
          <w:p>
            <w:pPr>
              <w:pStyle w:val="23"/>
              <w:spacing w:line="240" w:lineRule="auto"/>
              <w:rPr>
                <w:sz w:val="21"/>
                <w:szCs w:val="21"/>
              </w:rPr>
            </w:pPr>
            <w:r>
              <w:rPr>
                <w:rFonts w:hint="eastAsia"/>
                <w:sz w:val="21"/>
                <w:szCs w:val="21"/>
              </w:rPr>
              <w:t>废气</w:t>
            </w:r>
          </w:p>
        </w:tc>
        <w:tc>
          <w:tcPr>
            <w:tcW w:w="1575" w:type="dxa"/>
            <w:vAlign w:val="center"/>
          </w:tcPr>
          <w:p>
            <w:pPr>
              <w:spacing w:line="240" w:lineRule="auto"/>
              <w:rPr>
                <w:rFonts w:cs="Times New Roman"/>
                <w:color w:val="auto"/>
                <w:sz w:val="21"/>
                <w:szCs w:val="21"/>
              </w:rPr>
            </w:pPr>
            <w:r>
              <w:rPr>
                <w:rFonts w:cs="Times New Roman"/>
                <w:color w:val="auto"/>
                <w:sz w:val="21"/>
                <w:szCs w:val="21"/>
              </w:rPr>
              <w:t>颗粒物</w:t>
            </w:r>
          </w:p>
        </w:tc>
        <w:tc>
          <w:tcPr>
            <w:tcW w:w="1575" w:type="dxa"/>
            <w:vAlign w:val="center"/>
          </w:tcPr>
          <w:p>
            <w:pPr>
              <w:spacing w:line="240" w:lineRule="auto"/>
              <w:rPr>
                <w:rFonts w:cs="Times New Roman"/>
                <w:color w:val="auto"/>
                <w:sz w:val="21"/>
                <w:szCs w:val="21"/>
                <w:lang w:val="en-US"/>
              </w:rPr>
            </w:pPr>
            <w:r>
              <w:rPr>
                <w:rFonts w:cs="Times New Roman"/>
                <w:color w:val="auto"/>
                <w:sz w:val="21"/>
                <w:szCs w:val="21"/>
                <w:lang w:val="en-US"/>
              </w:rPr>
              <w:t>/</w:t>
            </w:r>
          </w:p>
        </w:tc>
        <w:tc>
          <w:tcPr>
            <w:tcW w:w="1575" w:type="dxa"/>
            <w:vAlign w:val="center"/>
          </w:tcPr>
          <w:p>
            <w:pPr>
              <w:spacing w:line="240" w:lineRule="auto"/>
              <w:rPr>
                <w:rFonts w:cs="Times New Roman"/>
                <w:color w:val="auto"/>
                <w:sz w:val="21"/>
                <w:szCs w:val="21"/>
                <w:lang w:val="en-US"/>
              </w:rPr>
            </w:pPr>
            <w:r>
              <w:rPr>
                <w:rFonts w:cs="Times New Roman"/>
                <w:color w:val="auto"/>
                <w:sz w:val="21"/>
                <w:szCs w:val="21"/>
                <w:lang w:val="en-US"/>
              </w:rPr>
              <w:t>/</w:t>
            </w:r>
          </w:p>
        </w:tc>
        <w:tc>
          <w:tcPr>
            <w:tcW w:w="1575" w:type="dxa"/>
            <w:vAlign w:val="center"/>
          </w:tcPr>
          <w:p>
            <w:pPr>
              <w:spacing w:line="240" w:lineRule="auto"/>
              <w:rPr>
                <w:rFonts w:cs="Times New Roman"/>
                <w:color w:val="auto"/>
                <w:sz w:val="21"/>
                <w:szCs w:val="21"/>
                <w:lang w:val="en-US"/>
              </w:rPr>
            </w:pPr>
            <w:r>
              <w:rPr>
                <w:rFonts w:cs="Times New Roman"/>
                <w:color w:val="auto"/>
                <w:sz w:val="21"/>
                <w:szCs w:val="21"/>
                <w:lang w:val="en-US"/>
              </w:rPr>
              <w:t>/</w:t>
            </w:r>
          </w:p>
        </w:tc>
        <w:tc>
          <w:tcPr>
            <w:tcW w:w="1575" w:type="dxa"/>
            <w:vAlign w:val="center"/>
          </w:tcPr>
          <w:p>
            <w:pPr>
              <w:spacing w:line="240" w:lineRule="auto"/>
              <w:rPr>
                <w:rFonts w:hint="default" w:eastAsia="宋体" w:cs="Times New Roman"/>
                <w:color w:val="auto"/>
                <w:sz w:val="21"/>
                <w:szCs w:val="21"/>
                <w:lang w:val="en-US" w:eastAsia="zh-CN"/>
              </w:rPr>
            </w:pPr>
            <w:r>
              <w:rPr>
                <w:rFonts w:hint="eastAsia" w:cs="Times New Roman"/>
                <w:color w:val="auto"/>
                <w:sz w:val="21"/>
                <w:szCs w:val="21"/>
                <w:lang w:val="en-US" w:eastAsia="zh-CN"/>
              </w:rPr>
              <w:t>2.068t</w:t>
            </w:r>
          </w:p>
        </w:tc>
        <w:tc>
          <w:tcPr>
            <w:tcW w:w="1575" w:type="dxa"/>
            <w:vAlign w:val="center"/>
          </w:tcPr>
          <w:p>
            <w:pPr>
              <w:spacing w:line="240" w:lineRule="auto"/>
              <w:rPr>
                <w:rFonts w:hint="default" w:eastAsia="宋体" w:cs="Times New Roman"/>
                <w:color w:val="auto"/>
                <w:sz w:val="21"/>
                <w:szCs w:val="21"/>
                <w:lang w:val="en-US" w:eastAsia="zh-CN"/>
              </w:rPr>
            </w:pPr>
            <w:r>
              <w:rPr>
                <w:rFonts w:cs="Times New Roman"/>
                <w:color w:val="auto"/>
                <w:sz w:val="21"/>
                <w:szCs w:val="21"/>
                <w:lang w:val="en-US"/>
              </w:rPr>
              <w:t>/</w:t>
            </w:r>
          </w:p>
        </w:tc>
        <w:tc>
          <w:tcPr>
            <w:tcW w:w="1801" w:type="dxa"/>
            <w:vAlign w:val="center"/>
          </w:tcPr>
          <w:p>
            <w:pPr>
              <w:spacing w:line="240" w:lineRule="auto"/>
              <w:rPr>
                <w:rFonts w:hint="default" w:cs="Times New Roman"/>
                <w:color w:val="auto"/>
                <w:sz w:val="21"/>
                <w:szCs w:val="21"/>
                <w:lang w:val="en-US"/>
              </w:rPr>
            </w:pPr>
            <w:r>
              <w:rPr>
                <w:rFonts w:hint="eastAsia" w:cs="Times New Roman"/>
                <w:color w:val="auto"/>
                <w:sz w:val="21"/>
                <w:szCs w:val="21"/>
                <w:lang w:val="en-US" w:eastAsia="zh-CN"/>
              </w:rPr>
              <w:t>2.068t</w:t>
            </w:r>
          </w:p>
        </w:tc>
        <w:tc>
          <w:tcPr>
            <w:tcW w:w="1349" w:type="dxa"/>
            <w:vAlign w:val="center"/>
          </w:tcPr>
          <w:p>
            <w:pPr>
              <w:spacing w:line="240" w:lineRule="auto"/>
              <w:rPr>
                <w:rFonts w:cs="Times New Roman"/>
                <w:sz w:val="21"/>
                <w:szCs w:val="21"/>
                <w:lang w:val="en-US"/>
              </w:rPr>
            </w:pPr>
            <w:r>
              <w:rPr>
                <w:rFonts w:cs="Times New Roman"/>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restart"/>
            <w:vAlign w:val="center"/>
          </w:tcPr>
          <w:p>
            <w:pPr>
              <w:pStyle w:val="23"/>
              <w:spacing w:line="240" w:lineRule="auto"/>
              <w:rPr>
                <w:sz w:val="21"/>
                <w:szCs w:val="21"/>
              </w:rPr>
            </w:pPr>
            <w:r>
              <w:rPr>
                <w:rFonts w:hint="eastAsia"/>
                <w:sz w:val="21"/>
                <w:szCs w:val="21"/>
              </w:rPr>
              <w:t>废水</w:t>
            </w:r>
          </w:p>
        </w:tc>
        <w:tc>
          <w:tcPr>
            <w:tcW w:w="1575" w:type="dxa"/>
            <w:vAlign w:val="center"/>
          </w:tcPr>
          <w:p>
            <w:pPr>
              <w:spacing w:line="240" w:lineRule="auto"/>
              <w:rPr>
                <w:rFonts w:cs="Times New Roman"/>
                <w:color w:val="auto"/>
                <w:sz w:val="21"/>
                <w:szCs w:val="21"/>
              </w:rPr>
            </w:pPr>
            <w:r>
              <w:rPr>
                <w:rFonts w:cs="Times New Roman"/>
                <w:color w:val="auto"/>
                <w:sz w:val="21"/>
                <w:szCs w:val="21"/>
              </w:rPr>
              <w:t>生产废水</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hint="eastAsia" w:eastAsia="宋体" w:cs="Times New Roman"/>
                <w:color w:val="auto"/>
                <w:sz w:val="21"/>
                <w:szCs w:val="21"/>
                <w:lang w:val="en-US" w:eastAsia="zh-CN"/>
              </w:rPr>
            </w:pPr>
            <w:r>
              <w:rPr>
                <w:rFonts w:hint="eastAsia" w:cs="Times New Roman"/>
                <w:color w:val="auto"/>
                <w:sz w:val="21"/>
                <w:szCs w:val="21"/>
                <w:lang w:val="en-US" w:eastAsia="zh-CN"/>
              </w:rPr>
              <w:t>0</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801" w:type="dxa"/>
            <w:vAlign w:val="center"/>
          </w:tcPr>
          <w:p>
            <w:pPr>
              <w:spacing w:line="240" w:lineRule="auto"/>
              <w:rPr>
                <w:rFonts w:cs="Times New Roman"/>
                <w:color w:val="auto"/>
                <w:sz w:val="21"/>
                <w:szCs w:val="21"/>
                <w:lang w:val="en-US"/>
              </w:rPr>
            </w:pPr>
            <w:r>
              <w:rPr>
                <w:rFonts w:hint="eastAsia" w:cs="Times New Roman"/>
                <w:color w:val="auto"/>
                <w:sz w:val="21"/>
                <w:szCs w:val="21"/>
                <w:lang w:val="en-US" w:eastAsia="zh-CN"/>
              </w:rPr>
              <w:t>0</w:t>
            </w:r>
          </w:p>
        </w:tc>
        <w:tc>
          <w:tcPr>
            <w:tcW w:w="1349" w:type="dxa"/>
            <w:vAlign w:val="center"/>
          </w:tcPr>
          <w:p>
            <w:pPr>
              <w:spacing w:line="240" w:lineRule="auto"/>
              <w:rPr>
                <w:rFonts w:cs="Times New Roman"/>
                <w:sz w:val="21"/>
                <w:szCs w:val="21"/>
                <w:lang w:val="en-US"/>
              </w:rPr>
            </w:pPr>
            <w:r>
              <w:rPr>
                <w:rFonts w:hint="eastAsia" w:cs="Times New Roman"/>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pPr>
              <w:spacing w:line="240" w:lineRule="auto"/>
              <w:rPr>
                <w:rFonts w:ascii="宋体" w:hAnsi="宋体"/>
                <w:sz w:val="21"/>
                <w:szCs w:val="21"/>
              </w:rPr>
            </w:pPr>
          </w:p>
        </w:tc>
        <w:tc>
          <w:tcPr>
            <w:tcW w:w="1575" w:type="dxa"/>
            <w:vAlign w:val="center"/>
          </w:tcPr>
          <w:p>
            <w:pPr>
              <w:spacing w:line="240" w:lineRule="auto"/>
              <w:rPr>
                <w:rFonts w:cs="Times New Roman"/>
                <w:color w:val="auto"/>
                <w:sz w:val="21"/>
                <w:szCs w:val="21"/>
              </w:rPr>
            </w:pPr>
            <w:r>
              <w:rPr>
                <w:rFonts w:cs="Times New Roman"/>
                <w:color w:val="auto"/>
                <w:sz w:val="21"/>
                <w:szCs w:val="21"/>
              </w:rPr>
              <w:t>生活废水</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hint="eastAsia" w:eastAsia="宋体" w:cs="Times New Roman"/>
                <w:color w:val="auto"/>
                <w:sz w:val="21"/>
                <w:szCs w:val="21"/>
                <w:lang w:val="en-US" w:eastAsia="zh-CN"/>
              </w:rPr>
            </w:pPr>
            <w:r>
              <w:rPr>
                <w:rFonts w:hint="eastAsia" w:cs="Times New Roman"/>
                <w:color w:val="auto"/>
                <w:sz w:val="21"/>
                <w:szCs w:val="21"/>
                <w:lang w:val="en-US" w:eastAsia="zh-CN"/>
              </w:rPr>
              <w:t>0</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801" w:type="dxa"/>
            <w:vAlign w:val="center"/>
          </w:tcPr>
          <w:p>
            <w:pPr>
              <w:spacing w:line="240" w:lineRule="auto"/>
              <w:rPr>
                <w:rFonts w:cs="Times New Roman"/>
                <w:color w:val="auto"/>
                <w:sz w:val="21"/>
                <w:szCs w:val="21"/>
                <w:lang w:val="en-US"/>
              </w:rPr>
            </w:pPr>
            <w:r>
              <w:rPr>
                <w:rFonts w:hint="eastAsia" w:cs="Times New Roman"/>
                <w:color w:val="auto"/>
                <w:sz w:val="21"/>
                <w:szCs w:val="21"/>
                <w:lang w:val="en-US" w:eastAsia="zh-CN"/>
              </w:rPr>
              <w:t>0</w:t>
            </w:r>
          </w:p>
        </w:tc>
        <w:tc>
          <w:tcPr>
            <w:tcW w:w="1349" w:type="dxa"/>
            <w:vAlign w:val="center"/>
          </w:tcPr>
          <w:p>
            <w:pPr>
              <w:spacing w:line="240" w:lineRule="auto"/>
              <w:rPr>
                <w:rFonts w:cs="Times New Roman"/>
                <w:sz w:val="21"/>
                <w:szCs w:val="21"/>
                <w:lang w:val="en-US"/>
              </w:rPr>
            </w:pPr>
            <w:r>
              <w:rPr>
                <w:rFonts w:hint="eastAsia" w:cs="Times New Roman"/>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restart"/>
            <w:vAlign w:val="center"/>
          </w:tcPr>
          <w:p>
            <w:pPr>
              <w:pStyle w:val="23"/>
              <w:spacing w:line="240" w:lineRule="auto"/>
              <w:rPr>
                <w:sz w:val="21"/>
                <w:szCs w:val="21"/>
              </w:rPr>
            </w:pPr>
            <w:r>
              <w:rPr>
                <w:rFonts w:hint="eastAsia"/>
                <w:sz w:val="21"/>
                <w:szCs w:val="21"/>
              </w:rPr>
              <w:t>一般工业固体废物</w:t>
            </w:r>
          </w:p>
        </w:tc>
        <w:tc>
          <w:tcPr>
            <w:tcW w:w="1575" w:type="dxa"/>
            <w:vAlign w:val="center"/>
          </w:tcPr>
          <w:p>
            <w:pPr>
              <w:spacing w:line="320" w:lineRule="exact"/>
              <w:rPr>
                <w:rFonts w:cs="Times New Roman"/>
                <w:color w:val="auto"/>
                <w:kern w:val="24"/>
                <w:sz w:val="21"/>
                <w:szCs w:val="21"/>
              </w:rPr>
            </w:pPr>
            <w:r>
              <w:rPr>
                <w:rFonts w:cs="Times New Roman"/>
                <w:color w:val="auto"/>
                <w:kern w:val="24"/>
                <w:sz w:val="21"/>
                <w:szCs w:val="21"/>
              </w:rPr>
              <w:t>布袋除尘器</w:t>
            </w:r>
            <w:r>
              <w:rPr>
                <w:rFonts w:hint="eastAsia" w:cs="Times New Roman"/>
                <w:color w:val="auto"/>
                <w:kern w:val="24"/>
                <w:sz w:val="21"/>
                <w:szCs w:val="21"/>
              </w:rPr>
              <w:t>除尘灰</w:t>
            </w:r>
          </w:p>
        </w:tc>
        <w:tc>
          <w:tcPr>
            <w:tcW w:w="1575" w:type="dxa"/>
            <w:vAlign w:val="center"/>
          </w:tcPr>
          <w:p>
            <w:pPr>
              <w:spacing w:line="240" w:lineRule="auto"/>
              <w:rPr>
                <w:rFonts w:cs="Times New Roman"/>
                <w:color w:val="auto"/>
                <w:sz w:val="21"/>
                <w:szCs w:val="21"/>
              </w:rPr>
            </w:pPr>
            <w:r>
              <w:rPr>
                <w:rFonts w:cs="Times New Roman"/>
                <w:color w:val="auto"/>
                <w:sz w:val="21"/>
                <w:szCs w:val="21"/>
                <w:lang w:val="en-US"/>
              </w:rPr>
              <w:t>/</w:t>
            </w:r>
          </w:p>
        </w:tc>
        <w:tc>
          <w:tcPr>
            <w:tcW w:w="1575" w:type="dxa"/>
            <w:vAlign w:val="center"/>
          </w:tcPr>
          <w:p>
            <w:pPr>
              <w:spacing w:line="240" w:lineRule="auto"/>
              <w:rPr>
                <w:rFonts w:cs="Times New Roman"/>
                <w:color w:val="auto"/>
                <w:sz w:val="21"/>
                <w:szCs w:val="21"/>
              </w:rPr>
            </w:pPr>
            <w:r>
              <w:rPr>
                <w:rFonts w:cs="Times New Roman"/>
                <w:color w:val="auto"/>
                <w:sz w:val="21"/>
                <w:szCs w:val="21"/>
                <w:lang w:val="en-US"/>
              </w:rPr>
              <w:t>/</w:t>
            </w:r>
          </w:p>
        </w:tc>
        <w:tc>
          <w:tcPr>
            <w:tcW w:w="1575" w:type="dxa"/>
            <w:vAlign w:val="center"/>
          </w:tcPr>
          <w:p>
            <w:pPr>
              <w:spacing w:line="240" w:lineRule="auto"/>
              <w:rPr>
                <w:rFonts w:cs="Times New Roman"/>
                <w:color w:val="auto"/>
                <w:sz w:val="21"/>
                <w:szCs w:val="21"/>
                <w:lang w:val="en-US"/>
              </w:rPr>
            </w:pPr>
            <w:r>
              <w:rPr>
                <w:rFonts w:cs="Times New Roman"/>
                <w:color w:val="auto"/>
                <w:sz w:val="21"/>
                <w:szCs w:val="21"/>
                <w:lang w:val="en-US"/>
              </w:rPr>
              <w:t>/</w:t>
            </w:r>
          </w:p>
        </w:tc>
        <w:tc>
          <w:tcPr>
            <w:tcW w:w="1575" w:type="dxa"/>
            <w:vAlign w:val="center"/>
          </w:tcPr>
          <w:p>
            <w:pPr>
              <w:spacing w:line="240" w:lineRule="auto"/>
              <w:rPr>
                <w:rFonts w:hint="default" w:eastAsia="宋体" w:cs="Times New Roman"/>
                <w:color w:val="auto"/>
                <w:sz w:val="21"/>
                <w:szCs w:val="21"/>
                <w:lang w:val="en-US" w:eastAsia="zh-CN"/>
              </w:rPr>
            </w:pPr>
            <w:r>
              <w:rPr>
                <w:rFonts w:hint="eastAsia" w:cs="Times New Roman"/>
                <w:color w:val="auto"/>
                <w:sz w:val="21"/>
                <w:szCs w:val="21"/>
                <w:lang w:val="en-US" w:eastAsia="zh-CN"/>
              </w:rPr>
              <w:t>598.8t</w:t>
            </w:r>
          </w:p>
        </w:tc>
        <w:tc>
          <w:tcPr>
            <w:tcW w:w="1575" w:type="dxa"/>
            <w:vAlign w:val="center"/>
          </w:tcPr>
          <w:p>
            <w:pPr>
              <w:spacing w:line="240" w:lineRule="auto"/>
              <w:rPr>
                <w:rFonts w:cs="Times New Roman"/>
                <w:color w:val="auto"/>
                <w:sz w:val="21"/>
                <w:szCs w:val="21"/>
                <w:lang w:val="en-US"/>
              </w:rPr>
            </w:pPr>
            <w:r>
              <w:rPr>
                <w:rFonts w:cs="Times New Roman"/>
                <w:color w:val="auto"/>
                <w:sz w:val="21"/>
                <w:szCs w:val="21"/>
                <w:lang w:val="en-US"/>
              </w:rPr>
              <w:t>/</w:t>
            </w:r>
          </w:p>
        </w:tc>
        <w:tc>
          <w:tcPr>
            <w:tcW w:w="1801" w:type="dxa"/>
            <w:vAlign w:val="center"/>
          </w:tcPr>
          <w:p>
            <w:pPr>
              <w:spacing w:line="240" w:lineRule="auto"/>
              <w:rPr>
                <w:rFonts w:cs="Times New Roman"/>
                <w:color w:val="auto"/>
                <w:sz w:val="21"/>
                <w:szCs w:val="21"/>
              </w:rPr>
            </w:pPr>
            <w:r>
              <w:rPr>
                <w:rFonts w:hint="eastAsia" w:cs="Times New Roman"/>
                <w:color w:val="auto"/>
                <w:sz w:val="21"/>
                <w:szCs w:val="21"/>
                <w:lang w:val="en-US" w:eastAsia="zh-CN"/>
              </w:rPr>
              <w:t>598.8t</w:t>
            </w:r>
          </w:p>
        </w:tc>
        <w:tc>
          <w:tcPr>
            <w:tcW w:w="1349" w:type="dxa"/>
            <w:vAlign w:val="center"/>
          </w:tcPr>
          <w:p>
            <w:pPr>
              <w:spacing w:line="240" w:lineRule="auto"/>
              <w:rPr>
                <w:rFonts w:cs="Times New Roman"/>
                <w:sz w:val="21"/>
                <w:szCs w:val="21"/>
                <w:lang w:val="en-US"/>
              </w:rPr>
            </w:pPr>
            <w:r>
              <w:rPr>
                <w:rFonts w:cs="Times New Roman"/>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pPr>
              <w:pStyle w:val="23"/>
              <w:spacing w:line="240" w:lineRule="auto"/>
              <w:rPr>
                <w:sz w:val="21"/>
                <w:szCs w:val="21"/>
              </w:rPr>
            </w:pPr>
          </w:p>
        </w:tc>
        <w:tc>
          <w:tcPr>
            <w:tcW w:w="1575" w:type="dxa"/>
            <w:vAlign w:val="center"/>
          </w:tcPr>
          <w:p>
            <w:pPr>
              <w:spacing w:line="320" w:lineRule="exact"/>
              <w:rPr>
                <w:rFonts w:cs="Times New Roman"/>
                <w:color w:val="auto"/>
                <w:kern w:val="24"/>
                <w:sz w:val="21"/>
                <w:szCs w:val="21"/>
              </w:rPr>
            </w:pPr>
            <w:r>
              <w:rPr>
                <w:rFonts w:cs="Times New Roman"/>
                <w:color w:val="auto"/>
                <w:kern w:val="24"/>
                <w:sz w:val="21"/>
                <w:szCs w:val="21"/>
              </w:rPr>
              <w:t>职工生活</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hint="default" w:eastAsia="宋体" w:cs="Times New Roman"/>
                <w:color w:val="auto"/>
                <w:sz w:val="21"/>
                <w:szCs w:val="21"/>
                <w:lang w:val="en-US" w:eastAsia="zh-CN"/>
              </w:rPr>
            </w:pPr>
            <w:r>
              <w:rPr>
                <w:rFonts w:hint="eastAsia" w:cs="Times New Roman"/>
                <w:color w:val="auto"/>
                <w:sz w:val="21"/>
                <w:szCs w:val="21"/>
                <w:lang w:val="en-US" w:eastAsia="zh-CN"/>
              </w:rPr>
              <w:t>5.6t</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801" w:type="dxa"/>
            <w:vAlign w:val="center"/>
          </w:tcPr>
          <w:p>
            <w:pPr>
              <w:spacing w:line="240" w:lineRule="auto"/>
              <w:rPr>
                <w:rFonts w:cs="Times New Roman"/>
                <w:color w:val="auto"/>
                <w:sz w:val="21"/>
                <w:szCs w:val="21"/>
                <w:lang w:val="en-US"/>
              </w:rPr>
            </w:pPr>
            <w:r>
              <w:rPr>
                <w:rFonts w:hint="eastAsia" w:cs="Times New Roman"/>
                <w:color w:val="auto"/>
                <w:sz w:val="21"/>
                <w:szCs w:val="21"/>
                <w:lang w:val="en-US" w:eastAsia="zh-CN"/>
              </w:rPr>
              <w:t>5.6t</w:t>
            </w:r>
          </w:p>
        </w:tc>
        <w:tc>
          <w:tcPr>
            <w:tcW w:w="1349" w:type="dxa"/>
            <w:vAlign w:val="center"/>
          </w:tcPr>
          <w:p>
            <w:pPr>
              <w:spacing w:line="240" w:lineRule="auto"/>
              <w:rPr>
                <w:rFonts w:cs="Times New Roman"/>
                <w:sz w:val="21"/>
                <w:szCs w:val="21"/>
                <w:lang w:val="en-US"/>
              </w:rPr>
            </w:pPr>
            <w:r>
              <w:rPr>
                <w:rFonts w:hint="eastAsia" w:cs="Times New Roman"/>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pPr>
              <w:spacing w:line="240" w:lineRule="auto"/>
              <w:rPr>
                <w:rFonts w:ascii="宋体" w:hAnsi="宋体"/>
                <w:sz w:val="21"/>
                <w:szCs w:val="21"/>
              </w:rPr>
            </w:pPr>
          </w:p>
        </w:tc>
        <w:tc>
          <w:tcPr>
            <w:tcW w:w="1575" w:type="dxa"/>
            <w:vAlign w:val="center"/>
          </w:tcPr>
          <w:p>
            <w:pPr>
              <w:spacing w:line="240" w:lineRule="auto"/>
              <w:rPr>
                <w:rFonts w:hint="eastAsia" w:cs="Times New Roman"/>
                <w:color w:val="auto"/>
                <w:sz w:val="21"/>
                <w:szCs w:val="21"/>
                <w:lang w:eastAsia="zh-CN"/>
              </w:rPr>
            </w:pPr>
            <w:r>
              <w:rPr>
                <w:rFonts w:hint="eastAsia" w:cs="Times New Roman"/>
                <w:color w:val="auto"/>
                <w:sz w:val="21"/>
                <w:szCs w:val="21"/>
                <w:lang w:eastAsia="zh-CN"/>
              </w:rPr>
              <w:t>沉淀池泥砂</w:t>
            </w:r>
          </w:p>
        </w:tc>
        <w:tc>
          <w:tcPr>
            <w:tcW w:w="1575" w:type="dxa"/>
            <w:vAlign w:val="center"/>
          </w:tcPr>
          <w:p>
            <w:pPr>
              <w:spacing w:line="240" w:lineRule="auto"/>
              <w:rPr>
                <w:rFonts w:hint="eastAsia" w:cs="Times New Roman"/>
                <w:color w:val="auto"/>
                <w:sz w:val="21"/>
                <w:szCs w:val="21"/>
                <w:lang w:val="en-US"/>
              </w:rPr>
            </w:pPr>
          </w:p>
        </w:tc>
        <w:tc>
          <w:tcPr>
            <w:tcW w:w="1575" w:type="dxa"/>
            <w:vAlign w:val="center"/>
          </w:tcPr>
          <w:p>
            <w:pPr>
              <w:spacing w:line="240" w:lineRule="auto"/>
              <w:rPr>
                <w:rFonts w:hint="eastAsia" w:cs="Times New Roman"/>
                <w:color w:val="auto"/>
                <w:sz w:val="21"/>
                <w:szCs w:val="21"/>
                <w:lang w:val="en-US"/>
              </w:rPr>
            </w:pPr>
          </w:p>
        </w:tc>
        <w:tc>
          <w:tcPr>
            <w:tcW w:w="1575" w:type="dxa"/>
            <w:vAlign w:val="center"/>
          </w:tcPr>
          <w:p>
            <w:pPr>
              <w:spacing w:line="240" w:lineRule="auto"/>
              <w:rPr>
                <w:rFonts w:hint="eastAsia" w:cs="Times New Roman"/>
                <w:color w:val="auto"/>
                <w:sz w:val="21"/>
                <w:szCs w:val="21"/>
                <w:lang w:val="en-US"/>
              </w:rPr>
            </w:pPr>
          </w:p>
        </w:tc>
        <w:tc>
          <w:tcPr>
            <w:tcW w:w="1575" w:type="dxa"/>
            <w:vAlign w:val="center"/>
          </w:tcPr>
          <w:p>
            <w:pPr>
              <w:spacing w:line="240" w:lineRule="auto"/>
              <w:rPr>
                <w:rFonts w:hint="default" w:cs="Times New Roman"/>
                <w:color w:val="auto"/>
                <w:sz w:val="21"/>
                <w:szCs w:val="21"/>
                <w:lang w:val="en-US" w:eastAsia="zh-CN"/>
              </w:rPr>
            </w:pPr>
            <w:r>
              <w:rPr>
                <w:rFonts w:hint="eastAsia" w:cs="Times New Roman"/>
                <w:color w:val="auto"/>
                <w:sz w:val="21"/>
                <w:szCs w:val="21"/>
                <w:lang w:val="en-US" w:eastAsia="zh-CN"/>
              </w:rPr>
              <w:t>11.80t</w:t>
            </w:r>
          </w:p>
        </w:tc>
        <w:tc>
          <w:tcPr>
            <w:tcW w:w="1575" w:type="dxa"/>
            <w:vAlign w:val="center"/>
          </w:tcPr>
          <w:p>
            <w:pPr>
              <w:spacing w:line="240" w:lineRule="auto"/>
              <w:rPr>
                <w:rFonts w:hint="eastAsia" w:cs="Times New Roman"/>
                <w:color w:val="auto"/>
                <w:sz w:val="21"/>
                <w:szCs w:val="21"/>
                <w:lang w:val="en-US"/>
              </w:rPr>
            </w:pPr>
          </w:p>
        </w:tc>
        <w:tc>
          <w:tcPr>
            <w:tcW w:w="1801" w:type="dxa"/>
            <w:vAlign w:val="center"/>
          </w:tcPr>
          <w:p>
            <w:pPr>
              <w:spacing w:line="240" w:lineRule="auto"/>
              <w:rPr>
                <w:rFonts w:hint="eastAsia" w:cs="Times New Roman"/>
                <w:color w:val="auto"/>
                <w:sz w:val="21"/>
                <w:szCs w:val="21"/>
                <w:lang w:val="en-US" w:eastAsia="zh-CN"/>
              </w:rPr>
            </w:pPr>
            <w:r>
              <w:rPr>
                <w:rFonts w:hint="eastAsia" w:cs="Times New Roman"/>
                <w:color w:val="auto"/>
                <w:sz w:val="21"/>
                <w:szCs w:val="21"/>
                <w:lang w:val="en-US" w:eastAsia="zh-CN"/>
              </w:rPr>
              <w:t>11.80t</w:t>
            </w:r>
          </w:p>
        </w:tc>
        <w:tc>
          <w:tcPr>
            <w:tcW w:w="1349" w:type="dxa"/>
            <w:vAlign w:val="center"/>
          </w:tcPr>
          <w:p>
            <w:pPr>
              <w:spacing w:line="240" w:lineRule="auto"/>
              <w:rPr>
                <w:rFonts w:hint="eastAsia"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restart"/>
            <w:vAlign w:val="center"/>
          </w:tcPr>
          <w:p>
            <w:pPr>
              <w:pStyle w:val="23"/>
              <w:spacing w:line="240" w:lineRule="auto"/>
              <w:rPr>
                <w:sz w:val="21"/>
                <w:szCs w:val="21"/>
              </w:rPr>
            </w:pPr>
            <w:r>
              <w:rPr>
                <w:rFonts w:hint="eastAsia"/>
                <w:sz w:val="21"/>
                <w:szCs w:val="21"/>
              </w:rPr>
              <w:t>危险废物</w:t>
            </w:r>
          </w:p>
        </w:tc>
        <w:tc>
          <w:tcPr>
            <w:tcW w:w="1575" w:type="dxa"/>
            <w:vAlign w:val="center"/>
          </w:tcPr>
          <w:p>
            <w:pPr>
              <w:spacing w:line="320" w:lineRule="exact"/>
              <w:rPr>
                <w:rFonts w:cs="Times New Roman"/>
                <w:color w:val="auto"/>
                <w:sz w:val="21"/>
                <w:szCs w:val="21"/>
              </w:rPr>
            </w:pPr>
            <w:r>
              <w:rPr>
                <w:rFonts w:hint="eastAsia"/>
                <w:color w:val="auto"/>
                <w:kern w:val="24"/>
                <w:sz w:val="21"/>
                <w:szCs w:val="21"/>
              </w:rPr>
              <w:t>废润滑油</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cs="Times New Roman"/>
                <w:color w:val="auto"/>
                <w:sz w:val="21"/>
                <w:szCs w:val="21"/>
              </w:rPr>
            </w:pPr>
            <w:r>
              <w:rPr>
                <w:rFonts w:hint="eastAsia" w:cs="Times New Roman"/>
                <w:color w:val="auto"/>
                <w:sz w:val="21"/>
                <w:szCs w:val="21"/>
                <w:lang w:val="en-US"/>
              </w:rPr>
              <w:t>/</w:t>
            </w:r>
          </w:p>
        </w:tc>
        <w:tc>
          <w:tcPr>
            <w:tcW w:w="1575" w:type="dxa"/>
            <w:vAlign w:val="center"/>
          </w:tcPr>
          <w:p>
            <w:pPr>
              <w:spacing w:line="240" w:lineRule="auto"/>
              <w:rPr>
                <w:rFonts w:hint="default" w:eastAsia="宋体" w:cs="Times New Roman"/>
                <w:color w:val="auto"/>
                <w:sz w:val="21"/>
                <w:szCs w:val="21"/>
                <w:lang w:val="en-US" w:eastAsia="zh-CN"/>
              </w:rPr>
            </w:pPr>
            <w:r>
              <w:rPr>
                <w:rFonts w:hint="eastAsia" w:cs="Times New Roman"/>
                <w:color w:val="auto"/>
                <w:sz w:val="21"/>
                <w:szCs w:val="21"/>
                <w:lang w:val="en-US" w:eastAsia="zh-CN"/>
              </w:rPr>
              <w:t>0.030t</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801" w:type="dxa"/>
            <w:vAlign w:val="center"/>
          </w:tcPr>
          <w:p>
            <w:pPr>
              <w:spacing w:line="240" w:lineRule="auto"/>
              <w:rPr>
                <w:rFonts w:cs="Times New Roman"/>
                <w:color w:val="auto"/>
                <w:sz w:val="21"/>
                <w:szCs w:val="21"/>
              </w:rPr>
            </w:pPr>
            <w:r>
              <w:rPr>
                <w:rFonts w:hint="eastAsia" w:cs="Times New Roman"/>
                <w:color w:val="auto"/>
                <w:sz w:val="21"/>
                <w:szCs w:val="21"/>
                <w:lang w:val="en-US" w:eastAsia="zh-CN"/>
              </w:rPr>
              <w:t>0.030t</w:t>
            </w:r>
          </w:p>
        </w:tc>
        <w:tc>
          <w:tcPr>
            <w:tcW w:w="1349" w:type="dxa"/>
            <w:vAlign w:val="center"/>
          </w:tcPr>
          <w:p>
            <w:pPr>
              <w:spacing w:line="240" w:lineRule="auto"/>
              <w:rPr>
                <w:rFonts w:cs="Times New Roman"/>
                <w:sz w:val="21"/>
                <w:szCs w:val="21"/>
              </w:rPr>
            </w:pPr>
            <w:r>
              <w:rPr>
                <w:rFonts w:hint="eastAsia" w:cs="Times New Roman"/>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pPr>
              <w:pStyle w:val="23"/>
              <w:spacing w:line="240" w:lineRule="auto"/>
              <w:rPr>
                <w:sz w:val="21"/>
                <w:szCs w:val="21"/>
              </w:rPr>
            </w:pPr>
          </w:p>
        </w:tc>
        <w:tc>
          <w:tcPr>
            <w:tcW w:w="1575" w:type="dxa"/>
            <w:vAlign w:val="center"/>
          </w:tcPr>
          <w:p>
            <w:pPr>
              <w:spacing w:line="320" w:lineRule="exact"/>
              <w:rPr>
                <w:rFonts w:cs="Times New Roman"/>
                <w:color w:val="auto"/>
                <w:sz w:val="21"/>
                <w:szCs w:val="21"/>
              </w:rPr>
            </w:pPr>
            <w:r>
              <w:rPr>
                <w:color w:val="auto"/>
                <w:kern w:val="24"/>
                <w:sz w:val="21"/>
                <w:szCs w:val="21"/>
              </w:rPr>
              <w:t>废油桶</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cs="Times New Roman"/>
                <w:color w:val="auto"/>
                <w:sz w:val="21"/>
                <w:szCs w:val="21"/>
              </w:rPr>
            </w:pPr>
            <w:r>
              <w:rPr>
                <w:rFonts w:hint="eastAsia" w:cs="Times New Roman"/>
                <w:color w:val="auto"/>
                <w:sz w:val="21"/>
                <w:szCs w:val="21"/>
                <w:lang w:val="en-US"/>
              </w:rPr>
              <w:t>/</w:t>
            </w:r>
          </w:p>
        </w:tc>
        <w:tc>
          <w:tcPr>
            <w:tcW w:w="1575" w:type="dxa"/>
            <w:vAlign w:val="center"/>
          </w:tcPr>
          <w:p>
            <w:pPr>
              <w:spacing w:line="240" w:lineRule="auto"/>
              <w:rPr>
                <w:rFonts w:hint="default" w:eastAsia="宋体" w:cs="Times New Roman"/>
                <w:color w:val="auto"/>
                <w:sz w:val="21"/>
                <w:szCs w:val="21"/>
                <w:lang w:val="en-US" w:eastAsia="zh-CN"/>
              </w:rPr>
            </w:pPr>
            <w:r>
              <w:rPr>
                <w:rFonts w:hint="eastAsia" w:cs="Times New Roman"/>
                <w:color w:val="auto"/>
                <w:sz w:val="21"/>
                <w:szCs w:val="21"/>
                <w:lang w:val="en-US" w:eastAsia="zh-CN"/>
              </w:rPr>
              <w:t>0.068t</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801" w:type="dxa"/>
            <w:vAlign w:val="center"/>
          </w:tcPr>
          <w:p>
            <w:pPr>
              <w:spacing w:line="240" w:lineRule="auto"/>
              <w:rPr>
                <w:rFonts w:cs="Times New Roman"/>
                <w:color w:val="auto"/>
                <w:sz w:val="21"/>
                <w:szCs w:val="21"/>
              </w:rPr>
            </w:pPr>
            <w:r>
              <w:rPr>
                <w:rFonts w:hint="eastAsia" w:cs="Times New Roman"/>
                <w:color w:val="auto"/>
                <w:sz w:val="21"/>
                <w:szCs w:val="21"/>
                <w:lang w:val="en-US" w:eastAsia="zh-CN"/>
              </w:rPr>
              <w:t>0.068t</w:t>
            </w:r>
          </w:p>
        </w:tc>
        <w:tc>
          <w:tcPr>
            <w:tcW w:w="1349" w:type="dxa"/>
            <w:vAlign w:val="center"/>
          </w:tcPr>
          <w:p>
            <w:pPr>
              <w:spacing w:line="240" w:lineRule="auto"/>
              <w:rPr>
                <w:rFonts w:cs="Times New Roman"/>
                <w:sz w:val="21"/>
                <w:szCs w:val="21"/>
                <w:lang w:val="en-US"/>
              </w:rPr>
            </w:pPr>
            <w:r>
              <w:rPr>
                <w:rFonts w:hint="eastAsia" w:cs="Times New Roman"/>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pPr>
              <w:spacing w:line="240" w:lineRule="auto"/>
              <w:rPr>
                <w:rFonts w:ascii="宋体" w:hAnsi="宋体"/>
                <w:sz w:val="21"/>
                <w:szCs w:val="21"/>
              </w:rPr>
            </w:pPr>
          </w:p>
        </w:tc>
        <w:tc>
          <w:tcPr>
            <w:tcW w:w="1575" w:type="dxa"/>
            <w:vAlign w:val="center"/>
          </w:tcPr>
          <w:p>
            <w:pPr>
              <w:spacing w:line="240" w:lineRule="auto"/>
              <w:rPr>
                <w:rFonts w:cs="Times New Roman"/>
                <w:color w:val="auto"/>
                <w:sz w:val="21"/>
                <w:szCs w:val="21"/>
              </w:rPr>
            </w:pPr>
            <w:r>
              <w:rPr>
                <w:rFonts w:hint="eastAsia" w:cs="Times New Roman"/>
                <w:color w:val="auto"/>
                <w:sz w:val="21"/>
                <w:szCs w:val="21"/>
              </w:rPr>
              <w:t>废旧含油抹布及劳保用品</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575" w:type="dxa"/>
            <w:vAlign w:val="center"/>
          </w:tcPr>
          <w:p>
            <w:pPr>
              <w:spacing w:line="240" w:lineRule="auto"/>
              <w:rPr>
                <w:rFonts w:cs="Times New Roman"/>
                <w:color w:val="auto"/>
                <w:sz w:val="21"/>
                <w:szCs w:val="21"/>
              </w:rPr>
            </w:pPr>
            <w:r>
              <w:rPr>
                <w:rFonts w:hint="eastAsia" w:cs="Times New Roman"/>
                <w:color w:val="auto"/>
                <w:sz w:val="21"/>
                <w:szCs w:val="21"/>
                <w:lang w:val="en-US"/>
              </w:rPr>
              <w:t>/</w:t>
            </w:r>
          </w:p>
        </w:tc>
        <w:tc>
          <w:tcPr>
            <w:tcW w:w="1575" w:type="dxa"/>
            <w:vAlign w:val="center"/>
          </w:tcPr>
          <w:p>
            <w:pPr>
              <w:spacing w:line="240" w:lineRule="auto"/>
              <w:rPr>
                <w:rFonts w:hint="default" w:eastAsia="宋体" w:cs="Times New Roman"/>
                <w:color w:val="auto"/>
                <w:sz w:val="21"/>
                <w:szCs w:val="21"/>
                <w:lang w:val="en-US" w:eastAsia="zh-CN"/>
              </w:rPr>
            </w:pPr>
            <w:r>
              <w:rPr>
                <w:rFonts w:hint="eastAsia" w:cs="Times New Roman"/>
                <w:color w:val="auto"/>
                <w:sz w:val="21"/>
                <w:szCs w:val="21"/>
                <w:lang w:val="en-US" w:eastAsia="zh-CN"/>
              </w:rPr>
              <w:t>0.002t</w:t>
            </w:r>
          </w:p>
        </w:tc>
        <w:tc>
          <w:tcPr>
            <w:tcW w:w="1575" w:type="dxa"/>
            <w:vAlign w:val="center"/>
          </w:tcPr>
          <w:p>
            <w:pPr>
              <w:spacing w:line="240" w:lineRule="auto"/>
              <w:rPr>
                <w:rFonts w:cs="Times New Roman"/>
                <w:color w:val="auto"/>
                <w:sz w:val="21"/>
                <w:szCs w:val="21"/>
                <w:lang w:val="en-US"/>
              </w:rPr>
            </w:pPr>
            <w:r>
              <w:rPr>
                <w:rFonts w:hint="eastAsia" w:cs="Times New Roman"/>
                <w:color w:val="auto"/>
                <w:sz w:val="21"/>
                <w:szCs w:val="21"/>
                <w:lang w:val="en-US"/>
              </w:rPr>
              <w:t>/</w:t>
            </w:r>
          </w:p>
        </w:tc>
        <w:tc>
          <w:tcPr>
            <w:tcW w:w="1801" w:type="dxa"/>
            <w:vAlign w:val="center"/>
          </w:tcPr>
          <w:p>
            <w:pPr>
              <w:spacing w:line="240" w:lineRule="auto"/>
              <w:rPr>
                <w:rFonts w:cs="Times New Roman"/>
                <w:color w:val="auto"/>
                <w:sz w:val="21"/>
                <w:szCs w:val="21"/>
                <w:lang w:val="en-US"/>
              </w:rPr>
            </w:pPr>
            <w:r>
              <w:rPr>
                <w:rFonts w:hint="eastAsia" w:cs="Times New Roman"/>
                <w:color w:val="auto"/>
                <w:sz w:val="21"/>
                <w:szCs w:val="21"/>
                <w:lang w:val="en-US" w:eastAsia="zh-CN"/>
              </w:rPr>
              <w:t>0.002t</w:t>
            </w:r>
          </w:p>
        </w:tc>
        <w:tc>
          <w:tcPr>
            <w:tcW w:w="1349" w:type="dxa"/>
            <w:vAlign w:val="center"/>
          </w:tcPr>
          <w:p>
            <w:pPr>
              <w:spacing w:line="240" w:lineRule="auto"/>
              <w:rPr>
                <w:rFonts w:cs="Times New Roman"/>
                <w:sz w:val="21"/>
                <w:szCs w:val="21"/>
                <w:lang w:val="en-US"/>
              </w:rPr>
            </w:pPr>
            <w:r>
              <w:rPr>
                <w:rFonts w:hint="eastAsia" w:cs="Times New Roman"/>
                <w:sz w:val="21"/>
                <w:szCs w:val="21"/>
                <w:lang w:val="en-US"/>
              </w:rPr>
              <w:t>/</w:t>
            </w:r>
          </w:p>
        </w:tc>
      </w:tr>
    </w:tbl>
    <w:p>
      <w:pPr>
        <w:jc w:val="left"/>
        <w:rPr>
          <w:rFonts w:hint="eastAsia"/>
          <w:sz w:val="21"/>
          <w:lang w:eastAsia="zh-CN"/>
        </w:rPr>
      </w:pPr>
      <w:r>
        <w:rPr>
          <w:sz w:val="21"/>
        </w:rPr>
        <w:t>注：⑥=①+③+④-⑤；⑦=⑥-</w:t>
      </w:r>
      <w:r>
        <w:rPr>
          <w:rFonts w:hint="eastAsia"/>
          <w:sz w:val="21"/>
        </w:rPr>
        <w:t>①</w:t>
      </w:r>
    </w:p>
    <w:sectPr>
      <w:pgSz w:w="16838" w:h="11906" w:orient="landscape"/>
      <w:pgMar w:top="1800" w:right="1440" w:bottom="1800" w:left="1440" w:header="851" w:footer="1247"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959485</wp:posOffset>
              </wp:positionH>
              <wp:positionV relativeFrom="page">
                <wp:posOffset>9902190</wp:posOffset>
              </wp:positionV>
              <wp:extent cx="801370" cy="335915"/>
              <wp:effectExtent l="0" t="0" r="0" b="0"/>
              <wp:wrapNone/>
              <wp:docPr id="6" name="文本框 6"/>
              <wp:cNvGraphicFramePr/>
              <a:graphic xmlns:a="http://schemas.openxmlformats.org/drawingml/2006/main">
                <a:graphicData uri="http://schemas.microsoft.com/office/word/2010/wordprocessingShape">
                  <wps:wsp>
                    <wps:cNvSpPr txBox="1"/>
                    <wps:spPr>
                      <a:xfrm>
                        <a:off x="0" y="0"/>
                        <a:ext cx="801370" cy="335915"/>
                      </a:xfrm>
                      <a:prstGeom prst="rect">
                        <a:avLst/>
                      </a:prstGeom>
                      <a:noFill/>
                      <a:ln>
                        <a:noFill/>
                      </a:ln>
                    </wps:spPr>
                    <wps:txbx>
                      <w:txbxContent>
                        <w:p>
                          <w:pPr>
                            <w:spacing w:before="189" w:line="339" w:lineRule="exact"/>
                            <w:ind w:left="20"/>
                            <w:jc w:val="left"/>
                            <w:rPr>
                              <w:sz w:val="28"/>
                            </w:rPr>
                          </w:pPr>
                          <w:r>
                            <w:rPr>
                              <w:sz w:val="28"/>
                            </w:rPr>
                            <w:t>—</w:t>
                          </w:r>
                          <w:r>
                            <w:fldChar w:fldCharType="begin"/>
                          </w:r>
                          <w:r>
                            <w:rPr>
                              <w:sz w:val="26"/>
                            </w:rPr>
                            <w:instrText xml:space="preserve"> PAGE </w:instrText>
                          </w:r>
                          <w:r>
                            <w:fldChar w:fldCharType="separate"/>
                          </w:r>
                          <w:r>
                            <w:t>10</w:t>
                          </w:r>
                          <w:r>
                            <w:fldChar w:fldCharType="end"/>
                          </w:r>
                          <w:r>
                            <w:rPr>
                              <w:sz w:val="28"/>
                            </w:rPr>
                            <w:t>—</w:t>
                          </w:r>
                        </w:p>
                      </w:txbxContent>
                    </wps:txbx>
                    <wps:bodyPr lIns="0" tIns="0" rIns="0" bIns="0" upright="1"/>
                  </wps:wsp>
                </a:graphicData>
              </a:graphic>
            </wp:anchor>
          </w:drawing>
        </mc:Choice>
        <mc:Fallback>
          <w:pict>
            <v:shape id="_x0000_s1026" o:spid="_x0000_s1026" o:spt="202" type="#_x0000_t202" style="position:absolute;left:0pt;margin-left:75.55pt;margin-top:779.7pt;height:26.45pt;width:63.1pt;mso-position-horizontal-relative:page;mso-position-vertical-relative:page;z-index:-251653120;mso-width-relative:page;mso-height-relative:page;" filled="f" stroked="f" coordsize="21600,21600" o:gfxdata="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xrI5fbAAAADQEAAA8AAAAAAAAAAQAgAAAAIgAAAGRycy9kb3ducmV2LnhtbFBL&#10;AQIUABQAAAAIAIdO4kDALrIougEAAHEDAAAOAAAAAAAAAAEAIAAAACoBAABkcnMvZTJvRG9jLnht&#10;bFBLBQYAAAAABgAGAFkBAABWBQAAAAA=&#10;">
              <v:fill on="f" focussize="0,0"/>
              <v:stroke on="f"/>
              <v:imagedata o:title=""/>
              <o:lock v:ext="edit" aspectratio="f"/>
              <v:textbox inset="0mm,0mm,0mm,0mm">
                <w:txbxContent>
                  <w:p>
                    <w:pPr>
                      <w:spacing w:before="189" w:line="339" w:lineRule="exact"/>
                      <w:ind w:left="20"/>
                      <w:jc w:val="left"/>
                      <w:rPr>
                        <w:sz w:val="28"/>
                      </w:rPr>
                    </w:pPr>
                    <w:r>
                      <w:rPr>
                        <w:sz w:val="28"/>
                      </w:rPr>
                      <w:t>—</w:t>
                    </w:r>
                    <w:r>
                      <w:fldChar w:fldCharType="begin"/>
                    </w:r>
                    <w:r>
                      <w:rPr>
                        <w:sz w:val="26"/>
                      </w:rPr>
                      <w:instrText xml:space="preserve"> PAGE </w:instrText>
                    </w:r>
                    <w:r>
                      <w:fldChar w:fldCharType="separate"/>
                    </w:r>
                    <w:r>
                      <w:t>10</w:t>
                    </w:r>
                    <w:r>
                      <w:fldChar w:fldCharType="end"/>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959485</wp:posOffset>
              </wp:positionH>
              <wp:positionV relativeFrom="page">
                <wp:posOffset>10035540</wp:posOffset>
              </wp:positionV>
              <wp:extent cx="718820" cy="203835"/>
              <wp:effectExtent l="0" t="0" r="0" b="0"/>
              <wp:wrapNone/>
              <wp:docPr id="5" name="文本框 5"/>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line="321" w:lineRule="exact"/>
                            <w:ind w:left="20"/>
                            <w:jc w:val="left"/>
                            <w:rPr>
                              <w:sz w:val="28"/>
                            </w:rPr>
                          </w:pPr>
                          <w:r>
                            <w:rPr>
                              <w:sz w:val="28"/>
                            </w:rPr>
                            <w:t>—</w:t>
                          </w:r>
                          <w:r>
                            <w:fldChar w:fldCharType="begin"/>
                          </w:r>
                          <w:r>
                            <w:rPr>
                              <w:sz w:val="26"/>
                            </w:rPr>
                            <w:instrText xml:space="preserve"> PAGE </w:instrText>
                          </w:r>
                          <w:r>
                            <w:fldChar w:fldCharType="separate"/>
                          </w:r>
                          <w:r>
                            <w:t>8</w:t>
                          </w:r>
                          <w:r>
                            <w:fldChar w:fldCharType="end"/>
                          </w:r>
                          <w:r>
                            <w:rPr>
                              <w:sz w:val="28"/>
                            </w:rPr>
                            <w:t>—</w:t>
                          </w:r>
                        </w:p>
                      </w:txbxContent>
                    </wps:txbx>
                    <wps:bodyPr lIns="0" tIns="0" rIns="0" bIns="0" upright="1"/>
                  </wps:wsp>
                </a:graphicData>
              </a:graphic>
            </wp:anchor>
          </w:drawing>
        </mc:Choice>
        <mc:Fallback>
          <w:pict>
            <v:shape id="_x0000_s1026" o:spid="_x0000_s1026" o:spt="202" type="#_x0000_t202" style="position:absolute;left:0pt;margin-left:75.55pt;margin-top:790.2pt;height:16.05pt;width:56.6pt;mso-position-horizontal-relative:page;mso-position-vertical-relative:page;z-index:-251652096;mso-width-relative:page;mso-height-relative:page;" filled="f" stroked="f" coordsize="21600,21600" o:gfxdata="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6FdEtoAAAANAQAADwAAAAAAAAABACAAAAAiAAAAZHJzL2Rvd25yZXYueG1sUEsB&#10;AhQAFAAAAAgAh07iQMQWGJe6AQAAcQMAAA4AAAAAAAAAAQAgAAAAKQEAAGRycy9lMm9Eb2MueG1s&#10;UEsFBgAAAAAGAAYAWQEAAFUFAAAAAA==&#10;">
              <v:fill on="f" focussize="0,0"/>
              <v:stroke on="f"/>
              <v:imagedata o:title=""/>
              <o:lock v:ext="edit" aspectratio="f"/>
              <v:textbox inset="0mm,0mm,0mm,0mm">
                <w:txbxContent>
                  <w:p>
                    <w:pPr>
                      <w:spacing w:line="321" w:lineRule="exact"/>
                      <w:ind w:left="20"/>
                      <w:jc w:val="left"/>
                      <w:rPr>
                        <w:sz w:val="28"/>
                      </w:rPr>
                    </w:pPr>
                    <w:r>
                      <w:rPr>
                        <w:sz w:val="28"/>
                      </w:rPr>
                      <w:t>—</w:t>
                    </w:r>
                    <w:r>
                      <w:fldChar w:fldCharType="begin"/>
                    </w:r>
                    <w:r>
                      <w:rPr>
                        <w:sz w:val="26"/>
                      </w:rPr>
                      <w:instrText xml:space="preserve"> PAGE </w:instrText>
                    </w:r>
                    <w:r>
                      <w:fldChar w:fldCharType="separate"/>
                    </w:r>
                    <w:r>
                      <w:t>8</w:t>
                    </w:r>
                    <w:r>
                      <w:fldChar w:fldCharType="end"/>
                    </w:r>
                    <w:r>
                      <w:rPr>
                        <w:sz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A55536"/>
    <w:multiLevelType w:val="multilevel"/>
    <w:tmpl w:val="58A55536"/>
    <w:lvl w:ilvl="0" w:tentative="0">
      <w:start w:val="1"/>
      <w:numFmt w:val="chineseCounting"/>
      <w:suff w:val="space"/>
      <w:lvlText w:val="第%1章"/>
      <w:lvlJc w:val="left"/>
      <w:pPr>
        <w:tabs>
          <w:tab w:val="left" w:pos="420"/>
        </w:tabs>
        <w:ind w:left="0" w:firstLine="0"/>
      </w:pPr>
      <w:rPr>
        <w:rFonts w:hint="eastAsia" w:ascii="Times New Roman" w:hAnsi="Times New Roman" w:eastAsia="黑体" w:cs="宋体"/>
        <w:sz w:val="30"/>
      </w:rPr>
    </w:lvl>
    <w:lvl w:ilvl="1" w:tentative="0">
      <w:start w:val="1"/>
      <w:numFmt w:val="decimal"/>
      <w:isLgl/>
      <w:suff w:val="space"/>
      <w:lvlText w:val="%1.%2"/>
      <w:lvlJc w:val="left"/>
      <w:pPr>
        <w:tabs>
          <w:tab w:val="left" w:pos="0"/>
        </w:tabs>
        <w:ind w:left="0" w:firstLine="0"/>
      </w:pPr>
      <w:rPr>
        <w:rFonts w:hint="eastAsia" w:ascii="Times New Roman" w:hAnsi="Times New Roman" w:eastAsia="黑体" w:cs="宋体"/>
        <w:sz w:val="28"/>
      </w:rPr>
    </w:lvl>
    <w:lvl w:ilvl="2" w:tentative="0">
      <w:start w:val="1"/>
      <w:numFmt w:val="decimal"/>
      <w:isLgl/>
      <w:suff w:val="space"/>
      <w:lvlText w:val="%1.%2.%3"/>
      <w:lvlJc w:val="left"/>
      <w:pPr>
        <w:tabs>
          <w:tab w:val="left" w:pos="1837"/>
        </w:tabs>
        <w:ind w:left="1417" w:firstLine="0"/>
      </w:pPr>
      <w:rPr>
        <w:rFonts w:hint="eastAsia" w:ascii="Times New Roman" w:hAnsi="Times New Roman" w:eastAsia="黑体" w:cs="宋体"/>
        <w:sz w:val="24"/>
      </w:rPr>
    </w:lvl>
    <w:lvl w:ilvl="3" w:tentative="0">
      <w:start w:val="1"/>
      <w:numFmt w:val="decimal"/>
      <w:suff w:val="nothing"/>
      <w:lvlText w:val="（%4）"/>
      <w:lvlJc w:val="left"/>
      <w:pPr>
        <w:tabs>
          <w:tab w:val="left" w:pos="1129"/>
        </w:tabs>
        <w:ind w:left="1559" w:hanging="850"/>
      </w:pPr>
      <w:rPr>
        <w:rFonts w:hint="eastAsia" w:ascii="宋体" w:hAnsi="宋体" w:eastAsia="宋体" w:cs="宋体"/>
        <w:lang w:val="en-US"/>
      </w:rPr>
    </w:lvl>
    <w:lvl w:ilvl="4" w:tentative="0">
      <w:start w:val="1"/>
      <w:numFmt w:val="decimal"/>
      <w:lvlText w:val="%5"/>
      <w:lvlJc w:val="left"/>
      <w:pPr>
        <w:tabs>
          <w:tab w:val="left" w:pos="420"/>
        </w:tabs>
        <w:ind w:left="991" w:hanging="991"/>
      </w:pPr>
      <w:rPr>
        <w:rFonts w:hint="eastAsia" w:ascii="宋体" w:hAnsi="宋体" w:eastAsia="宋体" w:cs="宋体"/>
      </w:rPr>
    </w:lvl>
    <w:lvl w:ilvl="5" w:tentative="0">
      <w:start w:val="1"/>
      <w:numFmt w:val="decimal"/>
      <w:lvlRestart w:val="1"/>
      <w:isLgl/>
      <w:suff w:val="space"/>
      <w:lvlText w:val="图%1-%6 "/>
      <w:lvlJc w:val="center"/>
      <w:pPr>
        <w:tabs>
          <w:tab w:val="left" w:pos="420"/>
        </w:tabs>
        <w:ind w:left="1134" w:hanging="1134"/>
      </w:pPr>
      <w:rPr>
        <w:rFonts w:hint="eastAsia" w:ascii="宋体" w:hAnsi="宋体" w:eastAsia="宋体" w:cs="宋体"/>
        <w:sz w:val="21"/>
      </w:rPr>
    </w:lvl>
    <w:lvl w:ilvl="6" w:tentative="0">
      <w:start w:val="1"/>
      <w:numFmt w:val="decimal"/>
      <w:lvlRestart w:val="1"/>
      <w:pStyle w:val="26"/>
      <w:isLgl/>
      <w:suff w:val="space"/>
      <w:lvlText w:val="表%1-%7 "/>
      <w:lvlJc w:val="center"/>
      <w:pPr>
        <w:tabs>
          <w:tab w:val="left" w:pos="0"/>
        </w:tabs>
        <w:ind w:left="0" w:firstLine="0"/>
      </w:pPr>
      <w:rPr>
        <w:rFonts w:hint="eastAsia" w:ascii="宋体" w:hAnsi="宋体" w:eastAsia="宋体" w:cs="宋体"/>
        <w:sz w:val="21"/>
      </w:rPr>
    </w:lvl>
    <w:lvl w:ilvl="7" w:tentative="0">
      <w:start w:val="1"/>
      <w:numFmt w:val="decimal"/>
      <w:lvlText w:val="%1.%2.%3.%4.%5.%6.%7.%8."/>
      <w:lvlJc w:val="left"/>
      <w:pPr>
        <w:tabs>
          <w:tab w:val="left" w:pos="420"/>
        </w:tabs>
        <w:ind w:left="1418" w:hanging="1418"/>
      </w:pPr>
      <w:rPr>
        <w:rFonts w:hint="eastAsia" w:ascii="宋体" w:hAnsi="宋体" w:eastAsia="宋体" w:cs="宋体"/>
      </w:rPr>
    </w:lvl>
    <w:lvl w:ilvl="8" w:tentative="0">
      <w:start w:val="1"/>
      <w:numFmt w:val="decimal"/>
      <w:lvlText w:val="%1.%2.%3.%4.%5.%6.%7.%8.%9."/>
      <w:lvlJc w:val="left"/>
      <w:pPr>
        <w:ind w:left="1558" w:hanging="1558"/>
      </w:pPr>
      <w:rPr>
        <w:rFonts w:hint="eastAsia"/>
      </w:rPr>
    </w:lvl>
  </w:abstractNum>
  <w:abstractNum w:abstractNumId="1">
    <w:nsid w:val="63A84639"/>
    <w:multiLevelType w:val="singleLevel"/>
    <w:tmpl w:val="63A8463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wODY4NzlkYWQyZDA4ODliZTllYWI3NWY5MWIyYTAifQ=="/>
  </w:docVars>
  <w:rsids>
    <w:rsidRoot w:val="70C072DF"/>
    <w:rsid w:val="00080E58"/>
    <w:rsid w:val="001573DA"/>
    <w:rsid w:val="00162063"/>
    <w:rsid w:val="003147CD"/>
    <w:rsid w:val="0034438D"/>
    <w:rsid w:val="00C91B25"/>
    <w:rsid w:val="00CD76FC"/>
    <w:rsid w:val="00E15234"/>
    <w:rsid w:val="00E21373"/>
    <w:rsid w:val="00F62EEF"/>
    <w:rsid w:val="00FE1505"/>
    <w:rsid w:val="01BD4CFC"/>
    <w:rsid w:val="01E114D3"/>
    <w:rsid w:val="022F7A07"/>
    <w:rsid w:val="023E0E0E"/>
    <w:rsid w:val="0268519D"/>
    <w:rsid w:val="02870DA1"/>
    <w:rsid w:val="02B7189F"/>
    <w:rsid w:val="02EA303D"/>
    <w:rsid w:val="02F565BF"/>
    <w:rsid w:val="0333356F"/>
    <w:rsid w:val="03444DFD"/>
    <w:rsid w:val="03FA78D4"/>
    <w:rsid w:val="04361CBD"/>
    <w:rsid w:val="0448715B"/>
    <w:rsid w:val="044A6670"/>
    <w:rsid w:val="04A41CBB"/>
    <w:rsid w:val="04BA7E09"/>
    <w:rsid w:val="04BF6ECA"/>
    <w:rsid w:val="04D109C8"/>
    <w:rsid w:val="05311D36"/>
    <w:rsid w:val="056612A0"/>
    <w:rsid w:val="06134AEB"/>
    <w:rsid w:val="06544528"/>
    <w:rsid w:val="0659211F"/>
    <w:rsid w:val="06631109"/>
    <w:rsid w:val="0664116A"/>
    <w:rsid w:val="067D330D"/>
    <w:rsid w:val="06BC3B7C"/>
    <w:rsid w:val="06E20DC1"/>
    <w:rsid w:val="071E1B65"/>
    <w:rsid w:val="07202C8E"/>
    <w:rsid w:val="07316351"/>
    <w:rsid w:val="083560F0"/>
    <w:rsid w:val="083D0CDB"/>
    <w:rsid w:val="083E24DF"/>
    <w:rsid w:val="089F6D4A"/>
    <w:rsid w:val="08A52590"/>
    <w:rsid w:val="08CA2F3B"/>
    <w:rsid w:val="08E06D16"/>
    <w:rsid w:val="091C5925"/>
    <w:rsid w:val="09643AA2"/>
    <w:rsid w:val="09694524"/>
    <w:rsid w:val="0A133E20"/>
    <w:rsid w:val="0A6811CC"/>
    <w:rsid w:val="0AE6642C"/>
    <w:rsid w:val="0B3F0007"/>
    <w:rsid w:val="0B596E46"/>
    <w:rsid w:val="0BEE462D"/>
    <w:rsid w:val="0C0C5B35"/>
    <w:rsid w:val="0C630F5D"/>
    <w:rsid w:val="0C6A5818"/>
    <w:rsid w:val="0C782EF0"/>
    <w:rsid w:val="0C7C707C"/>
    <w:rsid w:val="0C8D4E4E"/>
    <w:rsid w:val="0CA31FCB"/>
    <w:rsid w:val="0CAF6103"/>
    <w:rsid w:val="0CED0C31"/>
    <w:rsid w:val="0D1021AD"/>
    <w:rsid w:val="0D1A0407"/>
    <w:rsid w:val="0D420C4A"/>
    <w:rsid w:val="0D4E2564"/>
    <w:rsid w:val="0D6D3FA6"/>
    <w:rsid w:val="0DEE7B9E"/>
    <w:rsid w:val="0E161037"/>
    <w:rsid w:val="0E2D6917"/>
    <w:rsid w:val="0E637C83"/>
    <w:rsid w:val="0EBF2630"/>
    <w:rsid w:val="0ED07ACD"/>
    <w:rsid w:val="0F3058BB"/>
    <w:rsid w:val="0F6E135A"/>
    <w:rsid w:val="0F8029A7"/>
    <w:rsid w:val="0F815386"/>
    <w:rsid w:val="0FAE18D1"/>
    <w:rsid w:val="0FB35AD6"/>
    <w:rsid w:val="0FE24C18"/>
    <w:rsid w:val="10270257"/>
    <w:rsid w:val="102F19B8"/>
    <w:rsid w:val="10472563"/>
    <w:rsid w:val="10BE56DD"/>
    <w:rsid w:val="116A25C6"/>
    <w:rsid w:val="11AB661D"/>
    <w:rsid w:val="11DF31B7"/>
    <w:rsid w:val="11FD27AC"/>
    <w:rsid w:val="126C55E0"/>
    <w:rsid w:val="132E0619"/>
    <w:rsid w:val="1343541B"/>
    <w:rsid w:val="138F323D"/>
    <w:rsid w:val="140F59E4"/>
    <w:rsid w:val="146F535C"/>
    <w:rsid w:val="147012C6"/>
    <w:rsid w:val="149C1F4C"/>
    <w:rsid w:val="14B71928"/>
    <w:rsid w:val="14B77F43"/>
    <w:rsid w:val="14BF2645"/>
    <w:rsid w:val="15617392"/>
    <w:rsid w:val="15631831"/>
    <w:rsid w:val="15805AFB"/>
    <w:rsid w:val="15870498"/>
    <w:rsid w:val="15D95016"/>
    <w:rsid w:val="162A437D"/>
    <w:rsid w:val="16B5089D"/>
    <w:rsid w:val="16E53AFA"/>
    <w:rsid w:val="17056D07"/>
    <w:rsid w:val="17364F37"/>
    <w:rsid w:val="183A1DB1"/>
    <w:rsid w:val="185C5043"/>
    <w:rsid w:val="18BB29A0"/>
    <w:rsid w:val="18E751E8"/>
    <w:rsid w:val="18F11F36"/>
    <w:rsid w:val="190626C0"/>
    <w:rsid w:val="192F6693"/>
    <w:rsid w:val="19B85C78"/>
    <w:rsid w:val="19BB13C2"/>
    <w:rsid w:val="19CC3E70"/>
    <w:rsid w:val="19CD414F"/>
    <w:rsid w:val="19F21ED9"/>
    <w:rsid w:val="1A073B05"/>
    <w:rsid w:val="1A9C2C87"/>
    <w:rsid w:val="1AD00257"/>
    <w:rsid w:val="1B51784A"/>
    <w:rsid w:val="1B5D4240"/>
    <w:rsid w:val="1B786E34"/>
    <w:rsid w:val="1B8A73BC"/>
    <w:rsid w:val="1BAA1AD6"/>
    <w:rsid w:val="1BAB0F6E"/>
    <w:rsid w:val="1C372819"/>
    <w:rsid w:val="1CAF352F"/>
    <w:rsid w:val="1CDB1F81"/>
    <w:rsid w:val="1CE16015"/>
    <w:rsid w:val="1CEE5495"/>
    <w:rsid w:val="1D1C5B9E"/>
    <w:rsid w:val="1DE14097"/>
    <w:rsid w:val="1E717C5F"/>
    <w:rsid w:val="1E8B5A4C"/>
    <w:rsid w:val="1EB363A9"/>
    <w:rsid w:val="1F413791"/>
    <w:rsid w:val="1F4E7B97"/>
    <w:rsid w:val="1F823A4E"/>
    <w:rsid w:val="1F9130AA"/>
    <w:rsid w:val="1FA84B98"/>
    <w:rsid w:val="1FB74184"/>
    <w:rsid w:val="1FDE786A"/>
    <w:rsid w:val="205252DA"/>
    <w:rsid w:val="205D0617"/>
    <w:rsid w:val="20A216BC"/>
    <w:rsid w:val="20DA4E93"/>
    <w:rsid w:val="20DC4C86"/>
    <w:rsid w:val="21394208"/>
    <w:rsid w:val="21484C95"/>
    <w:rsid w:val="21732F1C"/>
    <w:rsid w:val="21760603"/>
    <w:rsid w:val="227B2A6C"/>
    <w:rsid w:val="22F61C42"/>
    <w:rsid w:val="23275171"/>
    <w:rsid w:val="233F5C1F"/>
    <w:rsid w:val="23D74C27"/>
    <w:rsid w:val="23DE6550"/>
    <w:rsid w:val="23EF7AC7"/>
    <w:rsid w:val="23F25038"/>
    <w:rsid w:val="249E4ED3"/>
    <w:rsid w:val="24DE7B94"/>
    <w:rsid w:val="255A506D"/>
    <w:rsid w:val="257011C1"/>
    <w:rsid w:val="25732730"/>
    <w:rsid w:val="25A412BE"/>
    <w:rsid w:val="261C5676"/>
    <w:rsid w:val="2655035E"/>
    <w:rsid w:val="266D0FD7"/>
    <w:rsid w:val="27425A37"/>
    <w:rsid w:val="275B07D4"/>
    <w:rsid w:val="276B428C"/>
    <w:rsid w:val="27EE0ECB"/>
    <w:rsid w:val="28447EE8"/>
    <w:rsid w:val="289E4206"/>
    <w:rsid w:val="28B353DA"/>
    <w:rsid w:val="29016E44"/>
    <w:rsid w:val="295D5160"/>
    <w:rsid w:val="29732F57"/>
    <w:rsid w:val="298842C4"/>
    <w:rsid w:val="2A1D0EB7"/>
    <w:rsid w:val="2A4433F5"/>
    <w:rsid w:val="2A4B7774"/>
    <w:rsid w:val="2A4C524E"/>
    <w:rsid w:val="2AD77AC8"/>
    <w:rsid w:val="2AD903FE"/>
    <w:rsid w:val="2AFE1734"/>
    <w:rsid w:val="2B0230D7"/>
    <w:rsid w:val="2B0801A0"/>
    <w:rsid w:val="2B2D3BDA"/>
    <w:rsid w:val="2B742573"/>
    <w:rsid w:val="2BAB5764"/>
    <w:rsid w:val="2BB22AB9"/>
    <w:rsid w:val="2CAC6A50"/>
    <w:rsid w:val="2D19172E"/>
    <w:rsid w:val="2D5D0EF4"/>
    <w:rsid w:val="2D613046"/>
    <w:rsid w:val="2D7129AB"/>
    <w:rsid w:val="2D811306"/>
    <w:rsid w:val="2D9415D2"/>
    <w:rsid w:val="2DB835D6"/>
    <w:rsid w:val="2DFD742F"/>
    <w:rsid w:val="2E0676FB"/>
    <w:rsid w:val="2E141EF5"/>
    <w:rsid w:val="2E356E86"/>
    <w:rsid w:val="2E3814F4"/>
    <w:rsid w:val="2E4D75B5"/>
    <w:rsid w:val="2EE455F4"/>
    <w:rsid w:val="2F9C6646"/>
    <w:rsid w:val="2FCB75EC"/>
    <w:rsid w:val="301A4F76"/>
    <w:rsid w:val="303D6415"/>
    <w:rsid w:val="30572840"/>
    <w:rsid w:val="30F07A07"/>
    <w:rsid w:val="312923FD"/>
    <w:rsid w:val="31694C92"/>
    <w:rsid w:val="32A95386"/>
    <w:rsid w:val="330176B0"/>
    <w:rsid w:val="333F7339"/>
    <w:rsid w:val="335C41CB"/>
    <w:rsid w:val="33735D51"/>
    <w:rsid w:val="33E621BC"/>
    <w:rsid w:val="3410208A"/>
    <w:rsid w:val="342D55EF"/>
    <w:rsid w:val="343915F9"/>
    <w:rsid w:val="346E2D63"/>
    <w:rsid w:val="34922D0D"/>
    <w:rsid w:val="34BC7F59"/>
    <w:rsid w:val="34F41443"/>
    <w:rsid w:val="355056CF"/>
    <w:rsid w:val="3558688D"/>
    <w:rsid w:val="35E575DA"/>
    <w:rsid w:val="361C461F"/>
    <w:rsid w:val="364B230D"/>
    <w:rsid w:val="365767DE"/>
    <w:rsid w:val="3679476A"/>
    <w:rsid w:val="369822E1"/>
    <w:rsid w:val="37085C46"/>
    <w:rsid w:val="37255467"/>
    <w:rsid w:val="37C81481"/>
    <w:rsid w:val="37D54A06"/>
    <w:rsid w:val="382449A6"/>
    <w:rsid w:val="383B70F2"/>
    <w:rsid w:val="38BE22E2"/>
    <w:rsid w:val="38C42CAA"/>
    <w:rsid w:val="38DE710F"/>
    <w:rsid w:val="391002E1"/>
    <w:rsid w:val="391858AE"/>
    <w:rsid w:val="394C26F6"/>
    <w:rsid w:val="397D685D"/>
    <w:rsid w:val="39A428B1"/>
    <w:rsid w:val="39C11DE8"/>
    <w:rsid w:val="3A6D3E36"/>
    <w:rsid w:val="3AA506E7"/>
    <w:rsid w:val="3AA66967"/>
    <w:rsid w:val="3AB9233E"/>
    <w:rsid w:val="3B107542"/>
    <w:rsid w:val="3B1A15C5"/>
    <w:rsid w:val="3B3A17B2"/>
    <w:rsid w:val="3B4900E0"/>
    <w:rsid w:val="3B7302AE"/>
    <w:rsid w:val="3BAE1C24"/>
    <w:rsid w:val="3BD664AF"/>
    <w:rsid w:val="3C0D32D7"/>
    <w:rsid w:val="3C9B2603"/>
    <w:rsid w:val="3CA35851"/>
    <w:rsid w:val="3CCC535D"/>
    <w:rsid w:val="3D356938"/>
    <w:rsid w:val="3D815431"/>
    <w:rsid w:val="3D9737D8"/>
    <w:rsid w:val="3DEE3CF0"/>
    <w:rsid w:val="3E215670"/>
    <w:rsid w:val="3E265729"/>
    <w:rsid w:val="3E800442"/>
    <w:rsid w:val="3EAF1849"/>
    <w:rsid w:val="3EF431A2"/>
    <w:rsid w:val="3F357356"/>
    <w:rsid w:val="3F3709A2"/>
    <w:rsid w:val="3F88101E"/>
    <w:rsid w:val="3FB773D6"/>
    <w:rsid w:val="3FBC556A"/>
    <w:rsid w:val="3FC15D9F"/>
    <w:rsid w:val="402F6409"/>
    <w:rsid w:val="40BE4B83"/>
    <w:rsid w:val="41262696"/>
    <w:rsid w:val="41724B82"/>
    <w:rsid w:val="417A4182"/>
    <w:rsid w:val="41A16F85"/>
    <w:rsid w:val="41C536AE"/>
    <w:rsid w:val="41DA6708"/>
    <w:rsid w:val="421C4943"/>
    <w:rsid w:val="423F6F41"/>
    <w:rsid w:val="424B0183"/>
    <w:rsid w:val="42845C90"/>
    <w:rsid w:val="42A2573F"/>
    <w:rsid w:val="43347BEF"/>
    <w:rsid w:val="43385515"/>
    <w:rsid w:val="440E6381"/>
    <w:rsid w:val="443B041F"/>
    <w:rsid w:val="4459665A"/>
    <w:rsid w:val="446659D7"/>
    <w:rsid w:val="4497086E"/>
    <w:rsid w:val="449F1529"/>
    <w:rsid w:val="44B7759D"/>
    <w:rsid w:val="44F030FB"/>
    <w:rsid w:val="450B337A"/>
    <w:rsid w:val="451A5BEB"/>
    <w:rsid w:val="45D366BC"/>
    <w:rsid w:val="45D81483"/>
    <w:rsid w:val="45E84216"/>
    <w:rsid w:val="46174895"/>
    <w:rsid w:val="46391541"/>
    <w:rsid w:val="464A16DA"/>
    <w:rsid w:val="46987A02"/>
    <w:rsid w:val="46D02DB6"/>
    <w:rsid w:val="470B7E2E"/>
    <w:rsid w:val="478F0E52"/>
    <w:rsid w:val="481F5400"/>
    <w:rsid w:val="48643B50"/>
    <w:rsid w:val="48864CC7"/>
    <w:rsid w:val="48CC5B31"/>
    <w:rsid w:val="499D150F"/>
    <w:rsid w:val="4A022285"/>
    <w:rsid w:val="4A6713FC"/>
    <w:rsid w:val="4A67453C"/>
    <w:rsid w:val="4A71542B"/>
    <w:rsid w:val="4A806EC9"/>
    <w:rsid w:val="4AE06B06"/>
    <w:rsid w:val="4AFF2CD5"/>
    <w:rsid w:val="4B0C3C96"/>
    <w:rsid w:val="4B134C65"/>
    <w:rsid w:val="4BC169B7"/>
    <w:rsid w:val="4C495FB0"/>
    <w:rsid w:val="4C556873"/>
    <w:rsid w:val="4C606827"/>
    <w:rsid w:val="4C6838F7"/>
    <w:rsid w:val="4C8104EA"/>
    <w:rsid w:val="4CA949A2"/>
    <w:rsid w:val="4D310221"/>
    <w:rsid w:val="4E2316C1"/>
    <w:rsid w:val="4EE50B42"/>
    <w:rsid w:val="4EEE37D6"/>
    <w:rsid w:val="4EEE65B6"/>
    <w:rsid w:val="4FF5060C"/>
    <w:rsid w:val="504B393E"/>
    <w:rsid w:val="50846DB4"/>
    <w:rsid w:val="50FE565E"/>
    <w:rsid w:val="51317DA9"/>
    <w:rsid w:val="514F31C8"/>
    <w:rsid w:val="523D36D0"/>
    <w:rsid w:val="52EF272A"/>
    <w:rsid w:val="532B7CFC"/>
    <w:rsid w:val="532E1C7A"/>
    <w:rsid w:val="53703088"/>
    <w:rsid w:val="53F0701A"/>
    <w:rsid w:val="5420778E"/>
    <w:rsid w:val="54241C6C"/>
    <w:rsid w:val="542E3DC6"/>
    <w:rsid w:val="54377B3B"/>
    <w:rsid w:val="54446560"/>
    <w:rsid w:val="549A608B"/>
    <w:rsid w:val="54A64DA5"/>
    <w:rsid w:val="54B14F44"/>
    <w:rsid w:val="551F698E"/>
    <w:rsid w:val="55355896"/>
    <w:rsid w:val="555448C1"/>
    <w:rsid w:val="556E3096"/>
    <w:rsid w:val="557079D0"/>
    <w:rsid w:val="557E22AD"/>
    <w:rsid w:val="558B1D00"/>
    <w:rsid w:val="55A26D35"/>
    <w:rsid w:val="56697B7C"/>
    <w:rsid w:val="56956C7E"/>
    <w:rsid w:val="56DE1BEA"/>
    <w:rsid w:val="573F6F13"/>
    <w:rsid w:val="57903F15"/>
    <w:rsid w:val="57D20938"/>
    <w:rsid w:val="58245CBC"/>
    <w:rsid w:val="5834504D"/>
    <w:rsid w:val="587B517D"/>
    <w:rsid w:val="5934151A"/>
    <w:rsid w:val="597E5FDC"/>
    <w:rsid w:val="59877198"/>
    <w:rsid w:val="59D60DD6"/>
    <w:rsid w:val="5A1347CB"/>
    <w:rsid w:val="5A2F3A8F"/>
    <w:rsid w:val="5A417562"/>
    <w:rsid w:val="5A932654"/>
    <w:rsid w:val="5AAB2BDC"/>
    <w:rsid w:val="5AB43CDA"/>
    <w:rsid w:val="5ABD2D4C"/>
    <w:rsid w:val="5B4E38F1"/>
    <w:rsid w:val="5BAC0837"/>
    <w:rsid w:val="5C747082"/>
    <w:rsid w:val="5CB44C4A"/>
    <w:rsid w:val="5CC25859"/>
    <w:rsid w:val="5CCF6D40"/>
    <w:rsid w:val="5CE65C16"/>
    <w:rsid w:val="5CF60634"/>
    <w:rsid w:val="5D214DB0"/>
    <w:rsid w:val="5D2A6ED3"/>
    <w:rsid w:val="5D4E03E0"/>
    <w:rsid w:val="5D9E7C9E"/>
    <w:rsid w:val="5DD35C3B"/>
    <w:rsid w:val="5DDF1DA2"/>
    <w:rsid w:val="5E0864F1"/>
    <w:rsid w:val="5E2D0D7F"/>
    <w:rsid w:val="5E495357"/>
    <w:rsid w:val="5E753AE6"/>
    <w:rsid w:val="5EA4485E"/>
    <w:rsid w:val="5F260F7A"/>
    <w:rsid w:val="5FA4227F"/>
    <w:rsid w:val="5FA87DCF"/>
    <w:rsid w:val="5FB60844"/>
    <w:rsid w:val="5FFF4803"/>
    <w:rsid w:val="60A12336"/>
    <w:rsid w:val="60A21ECB"/>
    <w:rsid w:val="60B03DB0"/>
    <w:rsid w:val="60BC6DA0"/>
    <w:rsid w:val="60C836FD"/>
    <w:rsid w:val="60DD16F7"/>
    <w:rsid w:val="612C5DB7"/>
    <w:rsid w:val="614D69E4"/>
    <w:rsid w:val="616C7B32"/>
    <w:rsid w:val="61A00C49"/>
    <w:rsid w:val="61B51448"/>
    <w:rsid w:val="623F6126"/>
    <w:rsid w:val="62AA206F"/>
    <w:rsid w:val="62B00E9C"/>
    <w:rsid w:val="631448DA"/>
    <w:rsid w:val="634465BB"/>
    <w:rsid w:val="636D4FBB"/>
    <w:rsid w:val="636E2C61"/>
    <w:rsid w:val="63BA71FA"/>
    <w:rsid w:val="63E2651E"/>
    <w:rsid w:val="63E6279E"/>
    <w:rsid w:val="63E72F98"/>
    <w:rsid w:val="63FA78B8"/>
    <w:rsid w:val="6420379D"/>
    <w:rsid w:val="644372E6"/>
    <w:rsid w:val="64AE51C0"/>
    <w:rsid w:val="65290496"/>
    <w:rsid w:val="659A00F1"/>
    <w:rsid w:val="65A5551E"/>
    <w:rsid w:val="65CC26B1"/>
    <w:rsid w:val="65FB3BE7"/>
    <w:rsid w:val="662A7269"/>
    <w:rsid w:val="662D25EF"/>
    <w:rsid w:val="666637C9"/>
    <w:rsid w:val="668872DB"/>
    <w:rsid w:val="66D75883"/>
    <w:rsid w:val="66E42DE4"/>
    <w:rsid w:val="67356A7A"/>
    <w:rsid w:val="674E19F8"/>
    <w:rsid w:val="677E557C"/>
    <w:rsid w:val="67814409"/>
    <w:rsid w:val="67C51125"/>
    <w:rsid w:val="67D7404C"/>
    <w:rsid w:val="68201430"/>
    <w:rsid w:val="682F1590"/>
    <w:rsid w:val="687A355C"/>
    <w:rsid w:val="68C00F85"/>
    <w:rsid w:val="68DC1286"/>
    <w:rsid w:val="690427C7"/>
    <w:rsid w:val="69B86341"/>
    <w:rsid w:val="69C431D7"/>
    <w:rsid w:val="6A0935D0"/>
    <w:rsid w:val="6AB11606"/>
    <w:rsid w:val="6AD77180"/>
    <w:rsid w:val="6B816BA3"/>
    <w:rsid w:val="6BB218D4"/>
    <w:rsid w:val="6BBA35F0"/>
    <w:rsid w:val="6BF444D0"/>
    <w:rsid w:val="6C683B8B"/>
    <w:rsid w:val="6CCF73A6"/>
    <w:rsid w:val="6D4B2276"/>
    <w:rsid w:val="6D682FBB"/>
    <w:rsid w:val="6E322C74"/>
    <w:rsid w:val="6E666CE2"/>
    <w:rsid w:val="6E6B141A"/>
    <w:rsid w:val="6EBC17B6"/>
    <w:rsid w:val="6ECE6C46"/>
    <w:rsid w:val="6FA9130F"/>
    <w:rsid w:val="704B0A1D"/>
    <w:rsid w:val="70C072DF"/>
    <w:rsid w:val="70D13D08"/>
    <w:rsid w:val="71594346"/>
    <w:rsid w:val="718E1C54"/>
    <w:rsid w:val="719E532A"/>
    <w:rsid w:val="71E4226D"/>
    <w:rsid w:val="722E540F"/>
    <w:rsid w:val="726C3311"/>
    <w:rsid w:val="72D02E26"/>
    <w:rsid w:val="732F16F7"/>
    <w:rsid w:val="73C20C4E"/>
    <w:rsid w:val="746B5820"/>
    <w:rsid w:val="74A7012D"/>
    <w:rsid w:val="74B37C6B"/>
    <w:rsid w:val="74B43697"/>
    <w:rsid w:val="74EB3AF5"/>
    <w:rsid w:val="75170001"/>
    <w:rsid w:val="75563AE5"/>
    <w:rsid w:val="759469BA"/>
    <w:rsid w:val="75964B5A"/>
    <w:rsid w:val="75B117FF"/>
    <w:rsid w:val="75D61243"/>
    <w:rsid w:val="75DE5A15"/>
    <w:rsid w:val="75EC5A5A"/>
    <w:rsid w:val="75EE1CC8"/>
    <w:rsid w:val="763B2791"/>
    <w:rsid w:val="766970F1"/>
    <w:rsid w:val="7687153F"/>
    <w:rsid w:val="768918D7"/>
    <w:rsid w:val="76A13114"/>
    <w:rsid w:val="76BA328B"/>
    <w:rsid w:val="76FE34D9"/>
    <w:rsid w:val="77012273"/>
    <w:rsid w:val="771002CF"/>
    <w:rsid w:val="772142AE"/>
    <w:rsid w:val="77444D49"/>
    <w:rsid w:val="77630196"/>
    <w:rsid w:val="77EC1056"/>
    <w:rsid w:val="78656587"/>
    <w:rsid w:val="79465562"/>
    <w:rsid w:val="79721C45"/>
    <w:rsid w:val="79B37AF3"/>
    <w:rsid w:val="7A21033C"/>
    <w:rsid w:val="7A233718"/>
    <w:rsid w:val="7A33368C"/>
    <w:rsid w:val="7A4D4333"/>
    <w:rsid w:val="7A9F49BB"/>
    <w:rsid w:val="7AE40352"/>
    <w:rsid w:val="7AF732A6"/>
    <w:rsid w:val="7C147513"/>
    <w:rsid w:val="7C7A6A36"/>
    <w:rsid w:val="7C7B7965"/>
    <w:rsid w:val="7C93771B"/>
    <w:rsid w:val="7CBF0D6E"/>
    <w:rsid w:val="7CDB6A8F"/>
    <w:rsid w:val="7D431BAA"/>
    <w:rsid w:val="7D6706F8"/>
    <w:rsid w:val="7DA77B15"/>
    <w:rsid w:val="7DA97791"/>
    <w:rsid w:val="7E1D563D"/>
    <w:rsid w:val="7E5A07BA"/>
    <w:rsid w:val="7E6E5DCC"/>
    <w:rsid w:val="7E7A4B0A"/>
    <w:rsid w:val="7E911470"/>
    <w:rsid w:val="7EAF2351"/>
    <w:rsid w:val="7EB666D0"/>
    <w:rsid w:val="7EE471A2"/>
    <w:rsid w:val="7F2D7177"/>
    <w:rsid w:val="7F3E0E1E"/>
    <w:rsid w:val="7FB53ACE"/>
    <w:rsid w:val="7FDC752A"/>
    <w:rsid w:val="7FF55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line="400" w:lineRule="exact"/>
      <w:jc w:val="center"/>
    </w:pPr>
    <w:rPr>
      <w:rFonts w:ascii="Times New Roman" w:hAnsi="Times New Roman" w:eastAsia="宋体" w:cs="宋体"/>
      <w:sz w:val="24"/>
      <w:szCs w:val="24"/>
      <w:lang w:val="zh-CN" w:eastAsia="zh-CN" w:bidi="zh-CN"/>
    </w:rPr>
  </w:style>
  <w:style w:type="paragraph" w:styleId="3">
    <w:name w:val="heading 1"/>
    <w:basedOn w:val="1"/>
    <w:next w:val="1"/>
    <w:link w:val="37"/>
    <w:qFormat/>
    <w:uiPriority w:val="1"/>
    <w:pPr>
      <w:spacing w:after="50" w:afterLines="50"/>
      <w:outlineLvl w:val="0"/>
    </w:pPr>
    <w:rPr>
      <w:rFonts w:cs="Times New Roman"/>
      <w:b/>
      <w:bCs/>
      <w:sz w:val="32"/>
      <w:szCs w:val="32"/>
    </w:rPr>
  </w:style>
  <w:style w:type="paragraph" w:styleId="4">
    <w:name w:val="heading 3"/>
    <w:basedOn w:val="1"/>
    <w:next w:val="1"/>
    <w:qFormat/>
    <w:uiPriority w:val="9"/>
    <w:pPr>
      <w:spacing w:line="500" w:lineRule="exact"/>
      <w:outlineLvl w:val="2"/>
    </w:pPr>
    <w:rPr>
      <w:b/>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5">
    <w:name w:val="Normal Indent"/>
    <w:basedOn w:val="1"/>
    <w:next w:val="1"/>
    <w:qFormat/>
    <w:uiPriority w:val="0"/>
    <w:pPr>
      <w:adjustRightInd w:val="0"/>
      <w:snapToGrid w:val="0"/>
      <w:spacing w:line="360" w:lineRule="auto"/>
      <w:ind w:firstLine="420"/>
    </w:pPr>
    <w:rPr>
      <w:rFonts w:eastAsia="楷体_GB2312"/>
      <w:spacing w:val="8"/>
    </w:rPr>
  </w:style>
  <w:style w:type="paragraph" w:styleId="6">
    <w:name w:val="annotation text"/>
    <w:basedOn w:val="1"/>
    <w:link w:val="34"/>
    <w:qFormat/>
    <w:uiPriority w:val="0"/>
    <w:pPr>
      <w:adjustRightInd w:val="0"/>
      <w:snapToGrid w:val="0"/>
      <w:spacing w:line="360" w:lineRule="auto"/>
      <w:jc w:val="left"/>
    </w:pPr>
    <w:rPr>
      <w:rFonts w:eastAsia="楷体_GB2312"/>
      <w:spacing w:val="8"/>
    </w:rPr>
  </w:style>
  <w:style w:type="paragraph" w:styleId="7">
    <w:name w:val="Body Text"/>
    <w:basedOn w:val="1"/>
    <w:next w:val="1"/>
    <w:link w:val="25"/>
    <w:qFormat/>
    <w:uiPriority w:val="1"/>
    <w:rPr>
      <w:rFonts w:ascii="黑体" w:hAnsi="黑体" w:eastAsia="黑体" w:cs="黑体"/>
      <w:sz w:val="30"/>
      <w:szCs w:val="30"/>
    </w:rPr>
  </w:style>
  <w:style w:type="paragraph" w:styleId="8">
    <w:name w:val="Block Text"/>
    <w:basedOn w:val="1"/>
    <w:qFormat/>
    <w:uiPriority w:val="0"/>
    <w:pPr>
      <w:ind w:left="480" w:right="-1414"/>
      <w:jc w:val="left"/>
    </w:pPr>
    <w:rPr>
      <w:rFonts w:ascii="仿宋_GB2312"/>
    </w:rPr>
  </w:style>
  <w:style w:type="paragraph" w:styleId="9">
    <w:name w:val="Balloon Text"/>
    <w:basedOn w:val="1"/>
    <w:link w:val="36"/>
    <w:qFormat/>
    <w:uiPriority w:val="0"/>
    <w:pPr>
      <w:spacing w:line="240" w:lineRule="auto"/>
    </w:pPr>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2">
    <w:name w:val="toc 2"/>
    <w:basedOn w:val="1"/>
    <w:next w:val="1"/>
    <w:qFormat/>
    <w:uiPriority w:val="0"/>
    <w:pPr>
      <w:ind w:left="240"/>
    </w:pPr>
    <w:rPr>
      <w:rFonts w:ascii="Calibri" w:hAnsi="Calibri"/>
      <w:smallCaps/>
      <w:sz w:val="20"/>
    </w:rPr>
  </w:style>
  <w:style w:type="paragraph" w:styleId="13">
    <w:name w:val="Normal (Web)"/>
    <w:basedOn w:val="1"/>
    <w:next w:val="1"/>
    <w:unhideWhenUsed/>
    <w:qFormat/>
    <w:uiPriority w:val="0"/>
    <w:pPr>
      <w:spacing w:before="100" w:beforeAutospacing="1" w:after="100" w:afterAutospacing="1"/>
    </w:pPr>
  </w:style>
  <w:style w:type="paragraph" w:styleId="14">
    <w:name w:val="annotation subject"/>
    <w:basedOn w:val="6"/>
    <w:next w:val="6"/>
    <w:link w:val="35"/>
    <w:qFormat/>
    <w:uiPriority w:val="0"/>
    <w:pPr>
      <w:adjustRightInd/>
      <w:snapToGrid/>
      <w:spacing w:line="400" w:lineRule="exact"/>
    </w:pPr>
    <w:rPr>
      <w:rFonts w:eastAsia="宋体"/>
      <w:b/>
      <w:bCs/>
      <w:spacing w:val="0"/>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rFonts w:eastAsia="仿宋"/>
      <w:b/>
      <w:bCs/>
      <w:sz w:val="24"/>
    </w:rPr>
  </w:style>
  <w:style w:type="character" w:styleId="19">
    <w:name w:val="annotation reference"/>
    <w:basedOn w:val="17"/>
    <w:qFormat/>
    <w:uiPriority w:val="0"/>
    <w:rPr>
      <w:sz w:val="21"/>
      <w:szCs w:val="21"/>
    </w:rPr>
  </w:style>
  <w:style w:type="paragraph" w:customStyle="1" w:styleId="20">
    <w:name w:val="样式 样式 样式 四号 左侧:  1.53 厘米 + 首行缩进:  2 字符 + 居中 左侧:  2 字符 首行缩进:  2..."/>
    <w:basedOn w:val="21"/>
    <w:qFormat/>
    <w:uiPriority w:val="0"/>
    <w:pPr>
      <w:spacing w:line="240" w:lineRule="auto"/>
    </w:pPr>
  </w:style>
  <w:style w:type="paragraph" w:customStyle="1" w:styleId="21">
    <w:name w:val="样式 样式 四号 左侧:  1.53 厘米 + 首行缩进:  2 字符"/>
    <w:basedOn w:val="22"/>
    <w:qFormat/>
    <w:uiPriority w:val="0"/>
    <w:pPr>
      <w:ind w:left="200" w:leftChars="200"/>
    </w:pPr>
    <w:rPr>
      <w:szCs w:val="20"/>
    </w:rPr>
  </w:style>
  <w:style w:type="paragraph" w:customStyle="1" w:styleId="22">
    <w:name w:val="样式 四号 左侧:  1.53 厘米"/>
    <w:basedOn w:val="1"/>
    <w:qFormat/>
    <w:uiPriority w:val="0"/>
    <w:pPr>
      <w:adjustRightInd w:val="0"/>
    </w:pPr>
    <w:rPr>
      <w:w w:val="90"/>
      <w:sz w:val="28"/>
      <w:szCs w:val="28"/>
    </w:rPr>
  </w:style>
  <w:style w:type="paragraph" w:customStyle="1" w:styleId="23">
    <w:name w:val="Table Paragraph"/>
    <w:basedOn w:val="1"/>
    <w:qFormat/>
    <w:uiPriority w:val="1"/>
    <w:rPr>
      <w:rFonts w:ascii="宋体" w:hAnsi="宋体"/>
    </w:rPr>
  </w:style>
  <w:style w:type="paragraph" w:customStyle="1" w:styleId="24">
    <w:name w:val="lh-正文-报告表"/>
    <w:basedOn w:val="1"/>
    <w:qFormat/>
    <w:uiPriority w:val="0"/>
    <w:pPr>
      <w:spacing w:line="360" w:lineRule="auto"/>
      <w:ind w:firstLine="480" w:firstLineChars="200"/>
    </w:pPr>
    <w:rPr>
      <w:szCs w:val="21"/>
    </w:rPr>
  </w:style>
  <w:style w:type="character" w:customStyle="1" w:styleId="25">
    <w:name w:val="正文文本 字符"/>
    <w:link w:val="7"/>
    <w:qFormat/>
    <w:uiPriority w:val="0"/>
    <w:rPr>
      <w:rFonts w:ascii="黑体" w:hAnsi="黑体" w:eastAsia="黑体" w:cs="黑体"/>
      <w:sz w:val="30"/>
      <w:szCs w:val="30"/>
      <w:lang w:val="zh-CN" w:eastAsia="zh-CN" w:bidi="zh-CN"/>
    </w:rPr>
  </w:style>
  <w:style w:type="paragraph" w:customStyle="1" w:styleId="26">
    <w:name w:val="0表-序号"/>
    <w:next w:val="1"/>
    <w:qFormat/>
    <w:uiPriority w:val="0"/>
    <w:pPr>
      <w:numPr>
        <w:ilvl w:val="6"/>
        <w:numId w:val="1"/>
      </w:numPr>
      <w:jc w:val="center"/>
    </w:pPr>
    <w:rPr>
      <w:rFonts w:ascii="Times New Roman" w:hAnsi="Times New Roman" w:eastAsia="宋体" w:cs="Times New Roman"/>
      <w:b/>
      <w:sz w:val="21"/>
      <w:lang w:val="en-US" w:eastAsia="zh-CN" w:bidi="ar-SA"/>
    </w:rPr>
  </w:style>
  <w:style w:type="paragraph" w:customStyle="1" w:styleId="27">
    <w:name w:val="报告标题3"/>
    <w:basedOn w:val="1"/>
    <w:qFormat/>
    <w:uiPriority w:val="0"/>
    <w:pPr>
      <w:keepNext/>
      <w:keepLines/>
      <w:outlineLvl w:val="2"/>
    </w:pPr>
    <w:rPr>
      <w:b/>
      <w:color w:val="000000"/>
      <w:kern w:val="1"/>
      <w:sz w:val="32"/>
    </w:rPr>
  </w:style>
  <w:style w:type="paragraph" w:customStyle="1" w:styleId="28">
    <w:name w:val="表内2014"/>
    <w:basedOn w:val="1"/>
    <w:qFormat/>
    <w:uiPriority w:val="99"/>
    <w:pPr>
      <w:snapToGrid w:val="0"/>
      <w:spacing w:line="240" w:lineRule="auto"/>
    </w:pPr>
    <w:rPr>
      <w:sz w:val="21"/>
      <w:szCs w:val="21"/>
    </w:rPr>
  </w:style>
  <w:style w:type="paragraph" w:customStyle="1" w:styleId="29">
    <w:name w:val="表格"/>
    <w:basedOn w:val="1"/>
    <w:next w:val="1"/>
    <w:qFormat/>
    <w:uiPriority w:val="0"/>
    <w:pPr>
      <w:adjustRightInd w:val="0"/>
      <w:snapToGrid w:val="0"/>
      <w:spacing w:line="300" w:lineRule="exact"/>
    </w:pPr>
    <w:rPr>
      <w:sz w:val="21"/>
    </w:rPr>
  </w:style>
  <w:style w:type="paragraph" w:customStyle="1" w:styleId="30">
    <w:name w:val="表头"/>
    <w:basedOn w:val="1"/>
    <w:qFormat/>
    <w:uiPriority w:val="0"/>
    <w:pPr>
      <w:spacing w:line="500" w:lineRule="exact"/>
    </w:pPr>
    <w:rPr>
      <w:b/>
      <w:sz w:val="21"/>
    </w:rPr>
  </w:style>
  <w:style w:type="paragraph" w:customStyle="1" w:styleId="31">
    <w:name w:val="表格1"/>
    <w:basedOn w:val="29"/>
    <w:qFormat/>
    <w:uiPriority w:val="0"/>
  </w:style>
  <w:style w:type="paragraph" w:customStyle="1" w:styleId="32">
    <w:name w:val="2.1.1"/>
    <w:basedOn w:val="1"/>
    <w:qFormat/>
    <w:uiPriority w:val="0"/>
    <w:rPr>
      <w:szCs w:val="20"/>
    </w:rPr>
  </w:style>
  <w:style w:type="paragraph" w:customStyle="1" w:styleId="33">
    <w:name w:val="书表格内"/>
    <w:basedOn w:val="1"/>
    <w:qFormat/>
    <w:uiPriority w:val="0"/>
    <w:pPr>
      <w:spacing w:line="0" w:lineRule="atLeast"/>
    </w:pPr>
    <w:rPr>
      <w:sz w:val="21"/>
      <w:szCs w:val="21"/>
    </w:rPr>
  </w:style>
  <w:style w:type="character" w:customStyle="1" w:styleId="34">
    <w:name w:val="批注文字 字符"/>
    <w:basedOn w:val="17"/>
    <w:link w:val="6"/>
    <w:qFormat/>
    <w:uiPriority w:val="0"/>
    <w:rPr>
      <w:rFonts w:eastAsia="楷体_GB2312" w:cs="宋体"/>
      <w:spacing w:val="8"/>
      <w:sz w:val="24"/>
      <w:szCs w:val="24"/>
      <w:lang w:val="zh-CN" w:bidi="zh-CN"/>
    </w:rPr>
  </w:style>
  <w:style w:type="character" w:customStyle="1" w:styleId="35">
    <w:name w:val="批注主题 字符"/>
    <w:basedOn w:val="34"/>
    <w:link w:val="14"/>
    <w:qFormat/>
    <w:uiPriority w:val="0"/>
    <w:rPr>
      <w:rFonts w:eastAsia="楷体_GB2312" w:cs="宋体"/>
      <w:b/>
      <w:bCs/>
      <w:spacing w:val="8"/>
      <w:sz w:val="24"/>
      <w:szCs w:val="24"/>
      <w:lang w:val="zh-CN" w:bidi="zh-CN"/>
    </w:rPr>
  </w:style>
  <w:style w:type="character" w:customStyle="1" w:styleId="36">
    <w:name w:val="批注框文本 字符"/>
    <w:basedOn w:val="17"/>
    <w:link w:val="9"/>
    <w:qFormat/>
    <w:uiPriority w:val="0"/>
    <w:rPr>
      <w:rFonts w:cs="宋体"/>
      <w:sz w:val="18"/>
      <w:szCs w:val="18"/>
      <w:lang w:val="zh-CN" w:bidi="zh-CN"/>
    </w:rPr>
  </w:style>
  <w:style w:type="character" w:customStyle="1" w:styleId="37">
    <w:name w:val="标题 1 Char"/>
    <w:link w:val="3"/>
    <w:qFormat/>
    <w:uiPriority w:val="1"/>
    <w:rPr>
      <w:rFonts w:cs="Times New Roman"/>
      <w:b/>
      <w:bCs/>
      <w:sz w:val="32"/>
      <w:szCs w:val="32"/>
    </w:rPr>
  </w:style>
  <w:style w:type="paragraph" w:customStyle="1" w:styleId="38">
    <w:name w:val="图表11111"/>
    <w:basedOn w:val="39"/>
    <w:qFormat/>
    <w:uiPriority w:val="0"/>
  </w:style>
  <w:style w:type="paragraph" w:customStyle="1" w:styleId="39">
    <w:name w:val="图表"/>
    <w:basedOn w:val="1"/>
    <w:qFormat/>
    <w:uiPriority w:val="0"/>
    <w:pPr>
      <w:spacing w:line="360" w:lineRule="auto"/>
      <w:jc w:val="center"/>
    </w:pPr>
    <w:rPr>
      <w:rFonts w:eastAsia="黑体"/>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png"/><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5.png"/><Relationship Id="rId17" Type="http://schemas.openxmlformats.org/officeDocument/2006/relationships/image" Target="media/image4.emf"/><Relationship Id="rId16" Type="http://schemas.openxmlformats.org/officeDocument/2006/relationships/oleObject" Target="embeddings/oleObject3.bin"/><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35"/>
    <customShpInfo spid="_x0000_s1027"/>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20475</Words>
  <Characters>23681</Characters>
  <Lines>187</Lines>
  <Paragraphs>52</Paragraphs>
  <TotalTime>120</TotalTime>
  <ScaleCrop>false</ScaleCrop>
  <LinksUpToDate>false</LinksUpToDate>
  <CharactersWithSpaces>23684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2021-01-04T06:04:00Z</dcterms:created>
  <dc:creator>賀＆先森~</dc:creator>
  <cp:lastModifiedBy>兴隆飞跃环保</cp:lastModifiedBy>
  <cp:lastPrinted>2022-01-21T02:15:00Z</cp:lastPrinted>
  <dcterms:modified xsi:type="dcterms:W3CDTF">2022-08-25T02:08:08Z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5F4E1C1C24424432ADEBB125DD426C1E</vt:lpwstr>
  </property>
</Properties>
</file>